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进贤创控供应链金融有限责任公司询价采购询价书</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firstLineChars="0"/>
        <w:textAlignment w:val="auto"/>
        <w:rPr>
          <w:rFonts w:hint="eastAsia" w:ascii="仿宋_GB2312" w:hAnsi="仿宋_GB2312" w:eastAsia="仿宋_GB2312" w:cs="仿宋_GB2312"/>
          <w:b w:val="0"/>
          <w:bCs w:val="0"/>
          <w:color w:val="auto"/>
          <w:lang w:val="en-US" w:eastAsia="zh-CN"/>
        </w:rPr>
      </w:pPr>
      <w:r>
        <w:rPr>
          <w:rFonts w:hint="eastAsia"/>
          <w:b w:val="0"/>
          <w:bCs w:val="0"/>
          <w:color w:val="auto"/>
          <w:lang w:val="en-US" w:eastAsia="zh-CN"/>
        </w:rPr>
        <w:t>各报价单位</w:t>
      </w:r>
      <w:r>
        <w:rPr>
          <w:rFonts w:hint="eastAsia"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本单位拟就进贤县医科园邻里中心建设项目设计、采购、施工</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EPC) 总承包的钢筋材料组织询价采购，诚邀符合资格条件的供应商参加本项目</w:t>
      </w:r>
      <w:r>
        <w:rPr>
          <w:rFonts w:hint="default"/>
          <w:b w:val="0"/>
          <w:bCs w:val="0"/>
          <w:color w:val="auto"/>
          <w:lang w:val="en-US" w:eastAsia="zh-CN"/>
        </w:rPr>
        <w:t>询价采购活动。</w:t>
      </w:r>
      <w:r>
        <w:rPr>
          <w:rFonts w:hint="eastAsia" w:ascii="仿宋_GB2312" w:hAnsi="仿宋_GB2312" w:eastAsia="仿宋_GB2312" w:cs="仿宋_GB2312"/>
          <w:b w:val="0"/>
          <w:bCs w:val="0"/>
          <w:color w:val="auto"/>
          <w:lang w:val="en-US" w:eastAsia="zh-CN"/>
        </w:rPr>
        <w:t>请贵单位于2023年</w:t>
      </w: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 xml:space="preserve"> 5</w:t>
      </w:r>
      <w:r>
        <w:rPr>
          <w:rFonts w:hint="eastAsia" w:ascii="仿宋_GB2312" w:hAnsi="仿宋_GB2312" w:eastAsia="仿宋_GB2312" w:cs="仿宋_GB2312"/>
          <w:b w:val="0"/>
          <w:bCs w:val="0"/>
          <w:color w:val="auto"/>
          <w:lang w:val="en-US" w:eastAsia="zh-CN"/>
        </w:rPr>
        <w:t>日至2023年</w:t>
      </w: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 xml:space="preserve">8 </w:t>
      </w:r>
      <w:r>
        <w:rPr>
          <w:rFonts w:hint="eastAsia" w:ascii="仿宋_GB2312" w:hAnsi="仿宋_GB2312" w:eastAsia="仿宋_GB2312" w:cs="仿宋_GB2312"/>
          <w:b w:val="0"/>
          <w:bCs w:val="0"/>
          <w:color w:val="auto"/>
          <w:lang w:val="en-US" w:eastAsia="zh-CN"/>
        </w:rPr>
        <w:t>日下午15：00之前按本询价的要求和响应文件格式予以送往进贤创控供应链金融有限责任公司，此次报价均采用纸质文件到现场的形式，报价文件由进贤创控供应链金融有限责任公司统一收取。2023年</w:t>
      </w: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 xml:space="preserve"> 8</w:t>
      </w:r>
      <w:r>
        <w:rPr>
          <w:rFonts w:hint="eastAsia" w:ascii="仿宋_GB2312" w:hAnsi="仿宋_GB2312" w:eastAsia="仿宋_GB2312" w:cs="仿宋_GB2312"/>
          <w:b w:val="0"/>
          <w:bCs w:val="0"/>
          <w:color w:val="auto"/>
          <w:lang w:val="en-US" w:eastAsia="zh-CN"/>
        </w:rPr>
        <w:t>日下午15：00之</w:t>
      </w:r>
      <w:r>
        <w:rPr>
          <w:rFonts w:hint="eastAsia" w:ascii="仿宋_GB2312" w:hAnsi="仿宋_GB2312" w:cs="仿宋_GB2312"/>
          <w:b w:val="0"/>
          <w:bCs w:val="0"/>
          <w:color w:val="auto"/>
          <w:lang w:val="en-US" w:eastAsia="zh-CN"/>
        </w:rPr>
        <w:t>后</w:t>
      </w:r>
      <w:r>
        <w:rPr>
          <w:rFonts w:hint="eastAsia" w:ascii="仿宋_GB2312" w:hAnsi="仿宋_GB2312" w:eastAsia="仿宋_GB2312" w:cs="仿宋_GB2312"/>
          <w:b w:val="0"/>
          <w:bCs w:val="0"/>
          <w:color w:val="auto"/>
          <w:lang w:val="en-US" w:eastAsia="zh-CN"/>
        </w:rPr>
        <w:t>送达至进贤创控供应链金融有限责任公司的报价文件均为无效。</w:t>
      </w:r>
    </w:p>
    <w:p>
      <w:pPr>
        <w:pStyle w:val="3"/>
        <w:numPr>
          <w:ilvl w:val="0"/>
          <w:numId w:val="0"/>
        </w:numPr>
        <w:bidi w:val="0"/>
        <w:ind w:left="140" w:leftChars="0" w:firstLine="42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一、</w:t>
      </w:r>
      <w:r>
        <w:rPr>
          <w:rFonts w:hint="eastAsia" w:ascii="黑体" w:hAnsi="黑体" w:eastAsia="黑体" w:cs="黑体"/>
          <w:b w:val="0"/>
          <w:bCs w:val="0"/>
          <w:color w:val="auto"/>
          <w:lang w:val="en-US" w:eastAsia="zh-CN"/>
        </w:rPr>
        <w:t>采购单位信息</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单位名称：</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地</w:t>
            </w:r>
            <w:r>
              <w:rPr>
                <w:rFonts w:hint="eastAsia" w:ascii="仿宋_GB2312" w:hAnsi="仿宋_GB2312" w:cs="仿宋_GB2312"/>
                <w:b w:val="0"/>
                <w:bCs w:val="0"/>
                <w:color w:val="auto"/>
                <w:sz w:val="28"/>
                <w:szCs w:val="28"/>
                <w:vertAlign w:val="baseline"/>
                <w:lang w:val="en-US" w:eastAsia="zh-CN"/>
              </w:rPr>
              <w:t xml:space="preserve">    </w:t>
            </w:r>
            <w:r>
              <w:rPr>
                <w:rFonts w:hint="eastAsia" w:ascii="仿宋_GB2312" w:hAnsi="仿宋_GB2312" w:eastAsia="仿宋_GB2312" w:cs="仿宋_GB2312"/>
                <w:b w:val="0"/>
                <w:bCs w:val="0"/>
                <w:color w:val="auto"/>
                <w:sz w:val="28"/>
                <w:szCs w:val="28"/>
                <w:vertAlign w:val="baseline"/>
                <w:lang w:val="en-US" w:eastAsia="zh-CN"/>
              </w:rPr>
              <w:t>址：</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联系人及电话：</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胡  凯15070875986</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二、</w:t>
      </w:r>
      <w:r>
        <w:rPr>
          <w:rFonts w:hint="eastAsia" w:ascii="黑体" w:hAnsi="黑体" w:eastAsia="黑体" w:cs="黑体"/>
          <w:b w:val="0"/>
          <w:bCs w:val="0"/>
          <w:color w:val="auto"/>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工程内容：进贤县医科园邻里中心建设项目设计、采购、施工</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EPC) 总承包</w:t>
      </w:r>
      <w:r>
        <w:rPr>
          <w:rFonts w:hint="eastAsia" w:ascii="仿宋_GB2312" w:hAnsi="仿宋_GB2312" w:cs="仿宋_GB2312"/>
          <w:b w:val="0"/>
          <w:bCs w:val="0"/>
          <w:color w:val="auto"/>
          <w:lang w:val="en-US" w:eastAsia="zh-CN"/>
        </w:rPr>
        <w:t>项目，</w:t>
      </w:r>
      <w:r>
        <w:rPr>
          <w:rFonts w:hint="eastAsia" w:ascii="仿宋_GB2312" w:hAnsi="仿宋_GB2312" w:eastAsia="仿宋_GB2312" w:cs="仿宋_GB2312"/>
          <w:b w:val="0"/>
          <w:bCs w:val="0"/>
          <w:color w:val="auto"/>
          <w:lang w:val="en-US" w:eastAsia="zh-CN"/>
        </w:rPr>
        <w:t>甲方进贤县千医良邦企业管理有限公司，进贤县交通建设工程有限公司作为承包人，项目投资266499710.92元，其中本项目总用地面积32311.95㎡，总建筑面积约79993㎡，其中人才公寓建筑面积约57947㎡，片区邻里中心7115㎡，地下车库14931㎡；地上建筑主要由两栋公寓楼，一栋商业配套裙房以及两个门卫和一个物业管理用房组成；地下室为单层地下车库及设备用房。主要建设内容包括建筑、结构、给排水、电气、暖通、消防、装饰及室外配套设施建设等工程，工程项目建设地址：进贤县医科园。</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三、采购产品的名称、规格、数量：</w:t>
      </w:r>
    </w:p>
    <w:tbl>
      <w:tblPr>
        <w:tblStyle w:val="7"/>
        <w:tblpPr w:leftFromText="180" w:rightFromText="180" w:vertAnchor="text" w:tblpXSpec="center" w:tblpY="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2"/>
        <w:gridCol w:w="3799"/>
        <w:gridCol w:w="1622"/>
        <w:gridCol w:w="2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序号</w:t>
            </w:r>
          </w:p>
        </w:tc>
        <w:tc>
          <w:tcPr>
            <w:tcW w:w="20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材料名称</w:t>
            </w:r>
          </w:p>
        </w:tc>
        <w:tc>
          <w:tcPr>
            <w:tcW w:w="8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单位</w:t>
            </w:r>
          </w:p>
        </w:tc>
        <w:tc>
          <w:tcPr>
            <w:tcW w:w="1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auto"/>
                <w:sz w:val="28"/>
                <w:szCs w:val="28"/>
                <w:u w:val="none"/>
              </w:rPr>
            </w:pPr>
          </w:p>
        </w:tc>
        <w:tc>
          <w:tcPr>
            <w:tcW w:w="20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auto"/>
                <w:sz w:val="28"/>
                <w:szCs w:val="28"/>
                <w:u w:val="none"/>
              </w:rPr>
            </w:pPr>
          </w:p>
        </w:tc>
        <w:tc>
          <w:tcPr>
            <w:tcW w:w="8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auto"/>
                <w:sz w:val="28"/>
                <w:szCs w:val="28"/>
                <w:u w:val="none"/>
              </w:rPr>
            </w:pPr>
          </w:p>
        </w:tc>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圆钢φ10以内</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14.61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钢筋HPB300φ10以内</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395.24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钢筋HRB400以内φ10以内</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1188.71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钢筋HRB400以内φ12-18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3523.46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钢筋HRB400以内φ20-25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2432.06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带肋钢筋HRB400φ10以内</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818.49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7</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带肋钢筋HRB400以内φ20-25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220.93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8</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螺纹钢筋φ25以外</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55.97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w:t>
            </w:r>
          </w:p>
        </w:tc>
        <w:tc>
          <w:tcPr>
            <w:tcW w:w="3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钢筋HPB300φ10以内</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sz w:val="28"/>
                <w:szCs w:val="28"/>
                <w:u w:val="none"/>
                <w:lang w:val="en-US" w:eastAsia="zh-CN"/>
              </w:rPr>
              <w:t>合计数量</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 xml:space="preserve">8706.39 </w:t>
            </w:r>
          </w:p>
        </w:tc>
      </w:tr>
    </w:tbl>
    <w:p>
      <w:pPr>
        <w:pageBreakBefore w:val="0"/>
        <w:widowControl w:val="0"/>
        <w:kinsoku/>
        <w:wordWrap/>
        <w:overflowPunct/>
        <w:topLinePunct w:val="0"/>
        <w:autoSpaceDE/>
        <w:autoSpaceDN/>
        <w:bidi w:val="0"/>
        <w:adjustRightInd/>
        <w:snapToGrid/>
        <w:spacing w:line="556"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注：以实际送货量为准。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四、</w:t>
      </w:r>
      <w:r>
        <w:rPr>
          <w:rFonts w:hint="eastAsia" w:ascii="黑体" w:hAnsi="黑体" w:eastAsia="黑体" w:cs="黑体"/>
          <w:b w:val="0"/>
          <w:bCs w:val="0"/>
          <w:color w:val="auto"/>
          <w:lang w:val="en-US" w:eastAsia="zh-CN"/>
        </w:rPr>
        <w:t>质量要求</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产品的质量应满足业主、监理及买方工程施工的需要。</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2.</w:t>
      </w:r>
      <w:r>
        <w:rPr>
          <w:rFonts w:hint="eastAsia" w:ascii="仿宋_GB2312" w:hAnsi="仿宋_GB2312" w:eastAsia="仿宋_GB2312" w:cs="仿宋_GB2312"/>
          <w:b w:val="0"/>
          <w:bCs w:val="0"/>
          <w:color w:val="auto"/>
          <w:lang w:val="en-US" w:eastAsia="zh-CN"/>
        </w:rPr>
        <w:t>产品的质量及技术标准应符合国家最新相关技术标准。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五、</w:t>
      </w:r>
      <w:r>
        <w:rPr>
          <w:rFonts w:hint="eastAsia" w:ascii="黑体" w:hAnsi="黑体" w:eastAsia="黑体" w:cs="黑体"/>
          <w:b w:val="0"/>
          <w:bCs w:val="0"/>
          <w:color w:val="auto"/>
          <w:lang w:val="en-US" w:eastAsia="zh-CN"/>
        </w:rPr>
        <w:t>结算与支付</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1.结算方式：所有货物交付并经验收合格后，买方应在次月5日前同卖方办理最终结算手续，双方确定</w:t>
      </w:r>
      <w:r>
        <w:rPr>
          <w:rFonts w:hint="eastAsia" w:ascii="仿宋_GB2312" w:hAnsi="仿宋_GB2312" w:cs="仿宋_GB2312"/>
          <w:b w:val="0"/>
          <w:bCs w:val="0"/>
          <w:color w:val="auto"/>
          <w:lang w:val="en-US" w:eastAsia="zh-CN"/>
        </w:rPr>
        <w:t>上月</w:t>
      </w:r>
      <w:r>
        <w:rPr>
          <w:rFonts w:hint="eastAsia" w:ascii="仿宋_GB2312" w:hAnsi="仿宋_GB2312" w:eastAsia="仿宋_GB2312" w:cs="仿宋_GB2312"/>
          <w:b w:val="0"/>
          <w:bCs w:val="0"/>
          <w:color w:val="auto"/>
          <w:lang w:val="en-US" w:eastAsia="zh-CN"/>
        </w:rPr>
        <w:t>结算总额，以实际结算为准；</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3.支付方式：货物运抵现场验收无误后，买方向卖方按合同支付货款，支付方式以合同签订为准。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六、</w:t>
      </w:r>
      <w:r>
        <w:rPr>
          <w:rFonts w:hint="eastAsia" w:ascii="黑体" w:hAnsi="黑体" w:eastAsia="黑体" w:cs="黑体"/>
          <w:b w:val="0"/>
          <w:bCs w:val="0"/>
          <w:color w:val="auto"/>
          <w:lang w:val="en-US" w:eastAsia="zh-CN"/>
        </w:rPr>
        <w:t>开票信息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发票种类：</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发票抬头：</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税号：</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其他要求：</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七、</w:t>
      </w:r>
      <w:r>
        <w:rPr>
          <w:rFonts w:hint="eastAsia" w:ascii="黑体" w:hAnsi="黑体" w:eastAsia="黑体" w:cs="黑体"/>
          <w:b w:val="0"/>
          <w:bCs w:val="0"/>
          <w:color w:val="auto"/>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2.财务能力要求：代理商注册资金不低于50万元人民币，具有良好的资金财务状况</w:t>
      </w:r>
      <w:r>
        <w:rPr>
          <w:rFonts w:hint="eastAsia" w:ascii="仿宋_GB2312" w:hAnsi="仿宋_GB2312" w:cs="仿宋_GB2312"/>
          <w:b w:val="0"/>
          <w:bCs w:val="0"/>
          <w:color w:val="auto"/>
          <w:lang w:val="en-US" w:eastAsia="zh-CN"/>
        </w:rPr>
        <w:t>、商业信誉和健全的财务会计制度</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3.生产能力要求：代理商有符合条件的生产商的授权书</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且有能力提供本次采购的货物和服务</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法律、行政法规规定的其他条件</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4.质量保证能力要求：投标供应商应保证产品必须是全新、未使用过的原装合格正品，完全符合采购文件规定的质量、规格和性能的要求</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default" w:ascii="仿宋_GB2312" w:hAnsi="仿宋_GB2312" w:eastAsia="仿宋_GB2312" w:cs="仿宋_GB2312"/>
          <w:b w:val="0"/>
          <w:bCs w:val="0"/>
          <w:color w:val="auto"/>
          <w:lang w:val="en-US" w:eastAsia="zh-CN"/>
        </w:rPr>
        <w:t>5.履约信用要求：履约信用良好，近年经营活动中无重大安全、质量事故、合同争议纠纷引起的违法行为记录及有关行政处罚等相关情况</w:t>
      </w:r>
      <w:r>
        <w:rPr>
          <w:rFonts w:hint="eastAsia" w:ascii="仿宋_GB2312" w:hAnsi="仿宋_GB2312" w:cs="仿宋_GB2312"/>
          <w:b w:val="0"/>
          <w:bCs w:val="0"/>
          <w:color w:val="auto"/>
          <w:lang w:val="en-US" w:eastAsia="zh-CN"/>
        </w:rPr>
        <w:t>，参加政府采购活动前三年内，在经营活动中没有重大违法记录</w:t>
      </w:r>
      <w:r>
        <w:rPr>
          <w:rFonts w:hint="default" w:ascii="仿宋_GB2312" w:hAnsi="仿宋_GB2312" w:eastAsia="仿宋_GB2312" w:cs="仿宋_GB2312"/>
          <w:b w:val="0"/>
          <w:bCs w:val="0"/>
          <w:color w:val="auto"/>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八、</w:t>
      </w:r>
      <w:r>
        <w:rPr>
          <w:rFonts w:hint="eastAsia" w:ascii="黑体" w:hAnsi="黑体" w:eastAsia="黑体" w:cs="黑体"/>
          <w:b w:val="0"/>
          <w:bCs w:val="0"/>
          <w:color w:val="auto"/>
          <w:lang w:val="en-US" w:eastAsia="zh-CN"/>
        </w:rPr>
        <w:t>响应文件递交及邀请函回执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2.营业执照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3.开户许可证</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4、一般纳税人证明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5</w:t>
      </w:r>
      <w:r>
        <w:rPr>
          <w:rFonts w:hint="eastAsia" w:ascii="仿宋_GB2312" w:hAnsi="仿宋_GB2312" w:eastAsia="仿宋_GB2312" w:cs="仿宋_GB2312"/>
          <w:b w:val="0"/>
          <w:bCs w:val="0"/>
          <w:color w:val="auto"/>
          <w:lang w:val="en-US" w:eastAsia="zh-CN"/>
        </w:rPr>
        <w:t>.近三年承担相关工程业绩证明（</w:t>
      </w:r>
      <w:r>
        <w:rPr>
          <w:rFonts w:hint="eastAsia" w:ascii="仿宋_GB2312" w:hAnsi="仿宋_GB2312" w:cs="仿宋_GB2312"/>
          <w:b w:val="0"/>
          <w:bCs w:val="0"/>
          <w:color w:val="auto"/>
          <w:lang w:val="en-US" w:eastAsia="zh-CN"/>
        </w:rPr>
        <w:t>如合同复印件、中标通知书等</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6</w:t>
      </w:r>
      <w:r>
        <w:rPr>
          <w:rFonts w:hint="eastAsia" w:ascii="仿宋_GB2312" w:hAnsi="仿宋_GB2312" w:eastAsia="仿宋_GB2312" w:cs="仿宋_GB2312"/>
          <w:b w:val="0"/>
          <w:bCs w:val="0"/>
          <w:color w:val="auto"/>
          <w:lang w:val="en-US" w:eastAsia="zh-CN"/>
        </w:rPr>
        <w:t>.法人身份证复印件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7.邀请函回执联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报价单位按以上顺序</w:t>
      </w:r>
      <w:r>
        <w:rPr>
          <w:rFonts w:hint="eastAsia" w:ascii="仿宋_GB2312" w:hAnsi="仿宋_GB2312" w:cs="仿宋_GB2312"/>
          <w:b w:val="0"/>
          <w:bCs w:val="0"/>
          <w:color w:val="auto"/>
          <w:lang w:val="en-US" w:eastAsia="zh-CN"/>
        </w:rPr>
        <w:t>加盖公章（可邮寄，邮寄地址：胡丽花15970497219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九、其他事项</w:t>
      </w:r>
    </w:p>
    <w:p>
      <w:pPr>
        <w:numPr>
          <w:ilvl w:val="0"/>
          <w:numId w:val="0"/>
        </w:numPr>
        <w:ind w:firstLine="560" w:firstLineChars="200"/>
        <w:rPr>
          <w:rFonts w:hint="default" w:ascii="仿宋_GB2312" w:hAnsi="仿宋_GB2312" w:cs="仿宋_GB2312"/>
          <w:b w:val="0"/>
          <w:bCs w:val="0"/>
          <w:color w:val="auto"/>
          <w:lang w:val="en-US" w:eastAsia="zh-CN"/>
        </w:rPr>
      </w:pPr>
      <w:r>
        <w:rPr>
          <w:rFonts w:hint="default"/>
          <w:lang w:val="en-US" w:eastAsia="zh-CN"/>
        </w:rPr>
        <w:t>本次询价评选办法选用“经评审的最低投标价</w:t>
      </w:r>
      <w:r>
        <w:rPr>
          <w:rFonts w:hint="default"/>
          <w:color w:val="auto"/>
          <w:lang w:val="en-US" w:eastAsia="zh-CN"/>
        </w:rPr>
        <w:t>法”，在同等质量、同等规模、同等参数情况下，根据价格从低至高排出前三名（税率不一致的供应商报价，价格高低标准不一样，</w:t>
      </w:r>
      <w:r>
        <w:rPr>
          <w:rFonts w:hint="eastAsia"/>
          <w:color w:val="auto"/>
          <w:lang w:val="en-US" w:eastAsia="zh-CN"/>
        </w:rPr>
        <w:t>统一</w:t>
      </w:r>
      <w:r>
        <w:rPr>
          <w:rFonts w:hint="default"/>
          <w:color w:val="auto"/>
          <w:lang w:val="en-US" w:eastAsia="zh-CN"/>
        </w:rPr>
        <w:t>换算成13%的税率以后</w:t>
      </w:r>
      <w:r>
        <w:rPr>
          <w:rFonts w:hint="eastAsia"/>
          <w:color w:val="auto"/>
          <w:lang w:val="en-US" w:eastAsia="zh-CN"/>
        </w:rPr>
        <w:t>再评价格</w:t>
      </w:r>
      <w:r>
        <w:rPr>
          <w:rFonts w:hint="default"/>
          <w:color w:val="auto"/>
          <w:lang w:val="en-US" w:eastAsia="zh-CN"/>
        </w:rPr>
        <w:t>高低，确定最低价），优先选用第一名，若成交单位存在供应不足、材料质量等问题，</w:t>
      </w:r>
      <w:r>
        <w:rPr>
          <w:rFonts w:hint="eastAsia"/>
          <w:color w:val="auto"/>
          <w:lang w:val="en-US" w:eastAsia="zh-CN"/>
        </w:rPr>
        <w:t>按照排名顺序替换或增加供应商，供应价格参照中标最低价</w:t>
      </w:r>
      <w:r>
        <w:rPr>
          <w:rFonts w:hint="default"/>
          <w:color w:val="auto"/>
          <w:lang w:val="en-US" w:eastAsia="zh-CN"/>
        </w:rPr>
        <w:t>。在同等质量、同等规模、同等参数情况下如有两家及以上报价相同且为最低价，则采用摇号规则，第一轮摇号10个球中抽</w:t>
      </w:r>
      <w:r>
        <w:rPr>
          <w:rFonts w:hint="default"/>
          <w:lang w:val="en-US" w:eastAsia="zh-CN"/>
        </w:rPr>
        <w:t>取抽签顺序，号码球序号标注的数字小的为第一位，依次排序，第二轮摇号则抽取排名顺序，号码球序号标注的数字小的为第一名，依次类推。</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十、交货信息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收货人</w:t>
      </w:r>
      <w:r>
        <w:rPr>
          <w:rFonts w:hint="eastAsia" w:ascii="仿宋_GB2312" w:hAnsi="仿宋_GB2312" w:cs="仿宋_GB2312"/>
          <w:b w:val="0"/>
          <w:bCs w:val="0"/>
          <w:color w:val="auto"/>
          <w:lang w:val="en-US" w:eastAsia="zh-CN"/>
        </w:rPr>
        <w:t>及</w:t>
      </w:r>
      <w:r>
        <w:rPr>
          <w:rFonts w:hint="eastAsia" w:ascii="仿宋_GB2312" w:hAnsi="仿宋_GB2312" w:eastAsia="仿宋_GB2312" w:cs="仿宋_GB2312"/>
          <w:b w:val="0"/>
          <w:bCs w:val="0"/>
          <w:color w:val="auto"/>
          <w:lang w:val="en-US" w:eastAsia="zh-CN"/>
        </w:rPr>
        <w:t>联系电话： 胡</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lang w:val="en-US" w:eastAsia="zh-CN"/>
        </w:rPr>
        <w:t>凯</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vertAlign w:val="baseline"/>
          <w:lang w:val="en-US" w:eastAsia="zh-CN"/>
        </w:rPr>
        <w:t>15070875986</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附件：</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_GB2312" w:hAnsi="仿宋_GB2312" w:eastAsia="仿宋_GB2312" w:cs="仿宋_GB2312"/>
          <w:b w:val="0"/>
          <w:bCs w:val="0"/>
          <w:color w:val="auto"/>
          <w:lang w:val="en-US" w:eastAsia="zh-CN"/>
        </w:rPr>
        <w:sectPr>
          <w:footerReference r:id="rId5" w:type="default"/>
          <w:pgSz w:w="11906" w:h="16838"/>
          <w:pgMar w:top="1440" w:right="1463" w:bottom="1440" w:left="1463" w:header="851" w:footer="992" w:gutter="0"/>
          <w:pgNumType w:fmt="numberInDash"/>
          <w:cols w:space="425" w:num="1"/>
          <w:docGrid w:type="lines" w:linePitch="312" w:charSpace="0"/>
        </w:sectPr>
      </w:pPr>
      <w:r>
        <w:rPr>
          <w:rFonts w:hint="eastAsia" w:ascii="仿宋_GB2312" w:hAnsi="仿宋_GB2312" w:cs="仿宋_GB2312"/>
          <w:b w:val="0"/>
          <w:bCs w:val="0"/>
          <w:color w:val="auto"/>
          <w:lang w:val="en-US" w:eastAsia="zh-CN"/>
        </w:rPr>
        <w:t>2.</w:t>
      </w:r>
      <w:r>
        <w:rPr>
          <w:rFonts w:hint="eastAsia" w:ascii="仿宋_GB2312" w:hAnsi="仿宋_GB2312" w:eastAsia="仿宋_GB2312" w:cs="仿宋_GB2312"/>
          <w:b w:val="0"/>
          <w:bCs w:val="0"/>
          <w:color w:val="auto"/>
          <w:lang w:val="en-US" w:eastAsia="zh-CN"/>
        </w:rPr>
        <w:t>进贤创控供应链金融有限责任公司投标邀请函</w:t>
      </w: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2"/>
        </w:rPr>
      </w:pPr>
      <w:r>
        <w:rPr>
          <w:rFonts w:hint="eastAsia" w:ascii="方正小标宋简体" w:hAnsi="方正小标宋简体" w:eastAsia="方正小标宋简体" w:cs="方正小标宋简体"/>
          <w:b w:val="0"/>
          <w:bCs w:val="0"/>
          <w:color w:val="auto"/>
          <w:sz w:val="36"/>
          <w:szCs w:val="32"/>
        </w:rPr>
        <w:t>进贤创控供应链金融有限责任公司</w:t>
      </w: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2"/>
        </w:rPr>
      </w:pPr>
      <w:r>
        <w:rPr>
          <w:rFonts w:hint="eastAsia" w:ascii="方正小标宋简体" w:hAnsi="方正小标宋简体" w:eastAsia="方正小标宋简体" w:cs="方正小标宋简体"/>
          <w:b w:val="0"/>
          <w:bCs w:val="0"/>
          <w:color w:val="auto"/>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b w:val="0"/>
          <w:bCs w:val="0"/>
          <w:color w:val="auto"/>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询价书收悉，我单位认真阅知、理解并全面接受询价书的各项要求，报价如下：</w:t>
      </w:r>
    </w:p>
    <w:tbl>
      <w:tblPr>
        <w:tblStyle w:val="7"/>
        <w:tblpPr w:leftFromText="180" w:rightFromText="180" w:vertAnchor="text" w:tblpXSpec="center" w:tblpY="1"/>
        <w:tblOverlap w:val="never"/>
        <w:tblW w:w="56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3"/>
        <w:gridCol w:w="3547"/>
        <w:gridCol w:w="875"/>
        <w:gridCol w:w="1406"/>
        <w:gridCol w:w="1431"/>
        <w:gridCol w:w="126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48" w:type="pct"/>
            <w:shd w:val="clear" w:color="auto" w:fill="auto"/>
            <w:vAlign w:val="center"/>
          </w:tcPr>
          <w:p>
            <w:pPr>
              <w:keepNext w:val="0"/>
              <w:keepLines w:val="0"/>
              <w:widowControl/>
              <w:suppressLineNumbers w:val="0"/>
              <w:ind w:left="0" w:leftChars="0" w:firstLine="0" w:firstLineChars="0"/>
              <w:jc w:val="center"/>
              <w:textAlignment w:val="center"/>
              <w:rPr>
                <w:rFonts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序号</w:t>
            </w:r>
          </w:p>
        </w:tc>
        <w:tc>
          <w:tcPr>
            <w:tcW w:w="1686"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材料名称</w:t>
            </w:r>
          </w:p>
        </w:tc>
        <w:tc>
          <w:tcPr>
            <w:tcW w:w="416"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单位</w:t>
            </w:r>
          </w:p>
        </w:tc>
        <w:tc>
          <w:tcPr>
            <w:tcW w:w="668"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数量</w:t>
            </w:r>
          </w:p>
        </w:tc>
        <w:tc>
          <w:tcPr>
            <w:tcW w:w="680"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9月5日</w:t>
            </w:r>
          </w:p>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cs="仿宋_GB2312"/>
                <w:i w:val="0"/>
                <w:iCs w:val="0"/>
                <w:color w:val="auto"/>
                <w:kern w:val="0"/>
                <w:sz w:val="24"/>
                <w:szCs w:val="24"/>
                <w:u w:val="none"/>
                <w:lang w:val="en-US" w:eastAsia="zh-CN" w:bidi="ar"/>
              </w:rPr>
              <w:t>信息价</w:t>
            </w:r>
          </w:p>
        </w:tc>
        <w:tc>
          <w:tcPr>
            <w:tcW w:w="599" w:type="pct"/>
            <w:shd w:val="clear" w:color="auto" w:fill="auto"/>
            <w:noWrap/>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单价（元）</w:t>
            </w:r>
          </w:p>
        </w:tc>
        <w:tc>
          <w:tcPr>
            <w:tcW w:w="599"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圆钢φ10以内</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14.61</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钢筋HPB300φ10以内</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395.24</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3</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钢筋HRB400以内φ10以内</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1188.71</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4</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钢筋HRB400以内φ12</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18</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3523.46</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5</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钢筋HRB400以内φ20</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25</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2432.06</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6</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带肋钢筋HRB400φ10以内</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818.49</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7</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带肋钢筋HRB400以内φ20</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25</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220.93</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8</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螺纹钢筋φ25以外</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55.97</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9</w:t>
            </w:r>
          </w:p>
        </w:tc>
        <w:tc>
          <w:tcPr>
            <w:tcW w:w="16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钢筋HPB300φ10以内</w:t>
            </w:r>
          </w:p>
        </w:tc>
        <w:tc>
          <w:tcPr>
            <w:tcW w:w="4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19"/>
                <w:szCs w:val="19"/>
                <w:u w:val="none"/>
              </w:rPr>
            </w:pPr>
            <w:r>
              <w:rPr>
                <w:rFonts w:hint="eastAsia" w:ascii="仿宋_GB2312" w:hAnsi="宋体" w:eastAsia="仿宋_GB2312" w:cs="仿宋_GB2312"/>
                <w:i w:val="0"/>
                <w:iCs w:val="0"/>
                <w:color w:val="auto"/>
                <w:kern w:val="0"/>
                <w:sz w:val="24"/>
                <w:szCs w:val="24"/>
                <w:u w:val="none"/>
                <w:lang w:val="en-US" w:eastAsia="zh-CN" w:bidi="ar"/>
              </w:rPr>
              <w:t>56.92</w:t>
            </w:r>
          </w:p>
        </w:tc>
        <w:tc>
          <w:tcPr>
            <w:tcW w:w="68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035"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2"/>
                <w:szCs w:val="22"/>
                <w:u w:val="none"/>
              </w:rPr>
            </w:pPr>
            <w:r>
              <w:rPr>
                <w:rFonts w:hint="eastAsia" w:ascii="仿宋_GB2312" w:hAnsi="宋体" w:eastAsia="仿宋_GB2312" w:cs="仿宋_GB2312"/>
                <w:i w:val="0"/>
                <w:iCs w:val="0"/>
                <w:color w:val="auto"/>
                <w:kern w:val="0"/>
                <w:sz w:val="24"/>
                <w:szCs w:val="24"/>
                <w:u w:val="none"/>
                <w:lang w:val="en-US" w:eastAsia="zh-CN" w:bidi="ar"/>
              </w:rPr>
              <w:t>合计</w:t>
            </w:r>
          </w:p>
        </w:tc>
        <w:tc>
          <w:tcPr>
            <w:tcW w:w="4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2"/>
                <w:szCs w:val="22"/>
                <w:u w:val="none"/>
              </w:rPr>
            </w:pPr>
            <w:r>
              <w:rPr>
                <w:rFonts w:hint="eastAsia" w:ascii="仿宋_GB2312" w:hAnsi="宋体" w:eastAsia="仿宋_GB2312" w:cs="仿宋_GB2312"/>
                <w:i w:val="0"/>
                <w:iCs w:val="0"/>
                <w:color w:val="auto"/>
                <w:kern w:val="0"/>
                <w:sz w:val="24"/>
                <w:szCs w:val="24"/>
                <w:u w:val="none"/>
                <w:lang w:val="en-US" w:eastAsia="zh-CN" w:bidi="ar"/>
              </w:rPr>
              <w:t>t</w:t>
            </w:r>
          </w:p>
        </w:tc>
        <w:tc>
          <w:tcPr>
            <w:tcW w:w="66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2"/>
                <w:szCs w:val="22"/>
                <w:u w:val="none"/>
              </w:rPr>
            </w:pPr>
            <w:r>
              <w:rPr>
                <w:rFonts w:hint="eastAsia" w:ascii="仿宋_GB2312" w:hAnsi="宋体" w:eastAsia="仿宋_GB2312" w:cs="仿宋_GB2312"/>
                <w:i w:val="0"/>
                <w:iCs w:val="0"/>
                <w:color w:val="auto"/>
                <w:kern w:val="0"/>
                <w:sz w:val="24"/>
                <w:szCs w:val="24"/>
                <w:u w:val="none"/>
                <w:lang w:val="en-US" w:eastAsia="zh-CN" w:bidi="ar"/>
              </w:rPr>
              <w:t>8706.39</w:t>
            </w:r>
          </w:p>
        </w:tc>
        <w:tc>
          <w:tcPr>
            <w:tcW w:w="680"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c>
          <w:tcPr>
            <w:tcW w:w="599"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48" w:type="pct"/>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仿宋_GB2312" w:hAnsi="宋体" w:eastAsia="仿宋_GB2312" w:cs="仿宋_GB2312"/>
                <w:i w:val="0"/>
                <w:iCs w:val="0"/>
                <w:color w:val="auto"/>
                <w:kern w:val="0"/>
                <w:sz w:val="24"/>
                <w:szCs w:val="24"/>
                <w:u w:val="none"/>
                <w:lang w:val="en-US" w:eastAsia="zh-CN" w:bidi="ar"/>
              </w:rPr>
              <w:t>备注</w:t>
            </w:r>
          </w:p>
        </w:tc>
        <w:tc>
          <w:tcPr>
            <w:tcW w:w="4651" w:type="pct"/>
            <w:gridSpan w:val="6"/>
            <w:shd w:val="clear" w:color="auto" w:fill="auto"/>
            <w:vAlign w:val="center"/>
          </w:tcPr>
          <w:p>
            <w:pPr>
              <w:keepNext w:val="0"/>
              <w:keepLines w:val="0"/>
              <w:widowControl/>
              <w:suppressLineNumbers w:val="0"/>
              <w:ind w:left="0" w:leftChars="0" w:firstLine="480"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以上单价报价方式为参</w:t>
            </w:r>
            <w:r>
              <w:rPr>
                <w:rFonts w:hint="eastAsia" w:ascii="仿宋_GB2312" w:hAnsi="宋体" w:eastAsia="仿宋_GB2312" w:cs="仿宋_GB2312"/>
                <w:i w:val="0"/>
                <w:iCs w:val="0"/>
                <w:color w:val="auto"/>
                <w:kern w:val="0"/>
                <w:sz w:val="24"/>
                <w:szCs w:val="24"/>
                <w:u w:val="none"/>
                <w:lang w:val="en-US" w:eastAsia="zh-CN" w:bidi="ar"/>
              </w:rPr>
              <w:t>照发货当天网价报价，上浮为+/下浮为-</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为含税价，包含运输、装卸、开票等费用。</w:t>
            </w:r>
          </w:p>
          <w:p>
            <w:pPr>
              <w:keepNext w:val="0"/>
              <w:keepLines w:val="0"/>
              <w:widowControl/>
              <w:suppressLineNumbers w:val="0"/>
              <w:ind w:left="0" w:leftChars="0" w:firstLine="480"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2、我方将钢筋运至招标方施工现场的单价，包括生产全过程所产生的所有成本包括保险、13%税费、交通运输等。货到当日</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上午第一次</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如遇周六周日及国家法定节假日，则参照节假日后的第一个工作日</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我的钢铁网ywy.ystee1.con南昌市场建筑钢材价格行规格型号的挂牌价格为基价，周六、日送货计入至下一周结算。供应商在每周结算办理完后提交完整单据、增值税专用发票(税率13%。</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cs="仿宋_GB2312"/>
                <w:i w:val="0"/>
                <w:iCs w:val="0"/>
                <w:color w:val="auto"/>
                <w:kern w:val="0"/>
                <w:sz w:val="24"/>
                <w:szCs w:val="24"/>
                <w:u w:val="none"/>
                <w:lang w:val="en-US" w:eastAsia="zh-CN" w:bidi="ar"/>
              </w:rPr>
              <w:t xml:space="preserve">  </w:t>
            </w:r>
            <w:r>
              <w:rPr>
                <w:rFonts w:hint="eastAsia" w:ascii="仿宋_GB2312" w:hAnsi="宋体" w:eastAsia="仿宋_GB2312" w:cs="仿宋_GB2312"/>
                <w:i w:val="0"/>
                <w:iCs w:val="0"/>
                <w:color w:val="auto"/>
                <w:kern w:val="0"/>
                <w:sz w:val="24"/>
                <w:szCs w:val="24"/>
                <w:u w:val="none"/>
                <w:lang w:val="en-US" w:eastAsia="zh-CN" w:bidi="ar"/>
              </w:rPr>
              <w:t>3、一票制结算，甲方在收到供应商每周结算完整资料后，按月支付钢筋现金结算货款的100%。</w:t>
            </w:r>
          </w:p>
          <w:p>
            <w:pPr>
              <w:keepNext w:val="0"/>
              <w:keepLines w:val="0"/>
              <w:widowControl/>
              <w:suppressLineNumbers w:val="0"/>
              <w:ind w:left="0" w:leftChars="0" w:firstLine="480" w:firstLineChars="20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4、如因工程项目施工需要，需供应未报价材料型号的材料，按照型号</w:t>
            </w:r>
            <w:r>
              <w:rPr>
                <w:rFonts w:hint="eastAsia" w:ascii="仿宋_GB2312" w:hAnsi="宋体" w:eastAsia="仿宋_GB2312" w:cs="仿宋_GB2312"/>
                <w:i w:val="0"/>
                <w:iCs w:val="0"/>
                <w:color w:val="auto"/>
                <w:kern w:val="0"/>
                <w:sz w:val="24"/>
                <w:szCs w:val="24"/>
                <w:u w:val="none"/>
                <w:lang w:val="en-US" w:eastAsia="zh-CN" w:bidi="ar"/>
              </w:rPr>
              <w:t>钢筋HRB400以内φ12</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18</w:t>
            </w:r>
            <w:r>
              <w:rPr>
                <w:rFonts w:hint="eastAsia" w:ascii="仿宋_GB2312" w:hAnsi="宋体" w:cs="仿宋_GB2312"/>
                <w:i w:val="0"/>
                <w:iCs w:val="0"/>
                <w:color w:val="auto"/>
                <w:kern w:val="0"/>
                <w:sz w:val="24"/>
                <w:szCs w:val="24"/>
                <w:u w:val="none"/>
                <w:lang w:val="en-US" w:eastAsia="zh-CN" w:bidi="ar"/>
              </w:rPr>
              <w:t>作参考。</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（单位名称及签章）</w:t>
      </w:r>
    </w:p>
    <w:p>
      <w:pPr>
        <w:keepNext w:val="0"/>
        <w:keepLines w:val="0"/>
        <w:pageBreakBefore w:val="0"/>
        <w:widowControl w:val="0"/>
        <w:kinsoku/>
        <w:wordWrap/>
        <w:overflowPunct/>
        <w:topLinePunct w:val="0"/>
        <w:autoSpaceDE/>
        <w:autoSpaceDN/>
        <w:bidi w:val="0"/>
        <w:adjustRightInd/>
        <w:snapToGrid/>
        <w:spacing w:line="440" w:lineRule="exact"/>
        <w:ind w:firstLine="560"/>
        <w:jc w:val="right"/>
        <w:textAlignment w:val="auto"/>
        <w:rPr>
          <w:rFonts w:hint="eastAsia" w:ascii="方正小标宋简体" w:hAnsi="方正小标宋简体" w:eastAsia="方正小标宋简体" w:cs="方正小标宋简体"/>
          <w:b w:val="0"/>
          <w:bCs w:val="0"/>
          <w:color w:val="auto"/>
          <w:sz w:val="32"/>
          <w:szCs w:val="28"/>
        </w:rPr>
      </w:pPr>
      <w:r>
        <w:rPr>
          <w:rFonts w:hint="eastAsia" w:ascii="仿宋_GB2312" w:hAnsi="仿宋_GB2312" w:eastAsia="仿宋_GB2312" w:cs="仿宋_GB2312"/>
          <w:b w:val="0"/>
          <w:bCs w:val="0"/>
          <w:color w:val="auto"/>
        </w:rPr>
        <w:t xml:space="preserve">年   月   日  </w:t>
      </w:r>
    </w:p>
    <w:p>
      <w:pPr>
        <w:bidi w:val="0"/>
        <w:ind w:left="0" w:leftChars="0" w:firstLine="0" w:firstLineChars="0"/>
        <w:jc w:val="center"/>
        <w:rPr>
          <w:rFonts w:hint="eastAsia" w:ascii="方正小标宋简体" w:hAnsi="方正小标宋简体" w:eastAsia="方正小标宋简体" w:cs="方正小标宋简体"/>
          <w:b w:val="0"/>
          <w:bCs w:val="0"/>
          <w:color w:val="auto"/>
          <w:sz w:val="32"/>
          <w:szCs w:val="28"/>
        </w:rPr>
      </w:pPr>
      <w:r>
        <w:rPr>
          <w:rFonts w:hint="eastAsia" w:ascii="方正小标宋简体" w:hAnsi="方正小标宋简体" w:eastAsia="方正小标宋简体" w:cs="方正小标宋简体"/>
          <w:b w:val="0"/>
          <w:bCs w:val="0"/>
          <w:color w:val="auto"/>
          <w:sz w:val="32"/>
          <w:szCs w:val="28"/>
        </w:rPr>
        <w:t>进贤创控供应链金融有限责任公司投标邀请函</w:t>
      </w:r>
    </w:p>
    <w:p>
      <w:pPr>
        <w:ind w:left="638" w:leftChars="228" w:firstLine="2880" w:firstLineChars="1200"/>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进贤创控供应链金融有限责任公司对</w:t>
      </w:r>
      <w:r>
        <w:rPr>
          <w:rFonts w:hint="eastAsia" w:ascii="仿宋_GB2312" w:hAnsi="仿宋_GB2312" w:eastAsia="仿宋_GB2312" w:cs="仿宋_GB2312"/>
          <w:b w:val="0"/>
          <w:bCs w:val="0"/>
          <w:color w:val="auto"/>
          <w:sz w:val="24"/>
          <w:szCs w:val="24"/>
          <w:lang w:val="en-US" w:eastAsia="zh-CN"/>
        </w:rPr>
        <w:t>2023年</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lang w:val="en-US" w:eastAsia="zh-CN"/>
        </w:rPr>
        <w:t>半年</w:t>
      </w:r>
      <w:r>
        <w:rPr>
          <w:rFonts w:hint="eastAsia" w:ascii="仿宋_GB2312" w:hAnsi="仿宋_GB2312" w:eastAsia="仿宋_GB2312" w:cs="仿宋_GB2312"/>
          <w:b w:val="0"/>
          <w:bCs w:val="0"/>
          <w:color w:val="auto"/>
          <w:sz w:val="24"/>
          <w:szCs w:val="24"/>
        </w:rPr>
        <w:t>生产物资及服务进行招标(集采、供意向的确定) ,兹邀请合格供应商前来洽谈。具体要求如下: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1、招标范围: </w:t>
      </w:r>
      <w:r>
        <w:rPr>
          <w:rFonts w:hint="eastAsia" w:ascii="仿宋_GB2312" w:hAnsi="仿宋_GB2312" w:eastAsia="仿宋_GB2312" w:cs="仿宋_GB2312"/>
          <w:b w:val="0"/>
          <w:bCs w:val="0"/>
          <w:color w:val="auto"/>
          <w:sz w:val="24"/>
          <w:szCs w:val="24"/>
          <w:lang w:val="en-US" w:eastAsia="zh-CN"/>
        </w:rPr>
        <w:t>钢筋</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highlight w:val="none"/>
        </w:rPr>
        <w:t>2、供应商资质: 合格的生产商授权书、具备增值税一般纳税人资格</w:t>
      </w:r>
      <w:r>
        <w:rPr>
          <w:rFonts w:hint="eastAsia" w:ascii="仿宋_GB2312" w:hAnsi="仿宋_GB2312" w:eastAsia="仿宋_GB2312" w:cs="仿宋_GB2312"/>
          <w:b w:val="0"/>
          <w:bCs w:val="0"/>
          <w:color w:val="auto"/>
          <w:sz w:val="24"/>
          <w:szCs w:val="24"/>
          <w:highlight w:val="none"/>
          <w:lang w:val="en-US" w:eastAsia="zh-CN"/>
        </w:rPr>
        <w:t>等</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3、产品要求: 供应商需保证产品是全新、未使用过的原装合格正品，完全符合采购文件规定的质量、规格和性能</w:t>
      </w:r>
      <w:r>
        <w:rPr>
          <w:rFonts w:hint="eastAsia" w:ascii="仿宋_GB2312" w:hAnsi="仿宋_GB2312" w:eastAsia="仿宋_GB2312" w:cs="仿宋_GB2312"/>
          <w:b w:val="0"/>
          <w:bCs w:val="0"/>
          <w:color w:val="auto"/>
          <w:sz w:val="24"/>
          <w:szCs w:val="24"/>
          <w:highlight w:val="none"/>
        </w:rPr>
        <w:t>的要求，需提供相关产品的质量认证证书或检测试验报告等,产品技术规格需提供相应产品的技术说明书。（详见招标文件）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4、投标时间</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如有合作意向</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请贵方于</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9</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 xml:space="preserve"> 8 </w:t>
      </w:r>
      <w:r>
        <w:rPr>
          <w:rFonts w:hint="eastAsia" w:ascii="仿宋_GB2312" w:hAnsi="仿宋_GB2312" w:eastAsia="仿宋_GB2312" w:cs="仿宋_GB2312"/>
          <w:b w:val="0"/>
          <w:bCs w:val="0"/>
          <w:color w:val="auto"/>
          <w:sz w:val="24"/>
          <w:szCs w:val="24"/>
        </w:rPr>
        <w:t>日</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：00前按照本公司询价的要求和响应文件格式送往进贤创控供应链金融有限责任公司</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5、通讯地址</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rPr>
        <w:t>6、联系</w:t>
      </w:r>
      <w:r>
        <w:rPr>
          <w:rFonts w:hint="eastAsia" w:ascii="仿宋_GB2312" w:hAnsi="仿宋_GB2312" w:eastAsia="仿宋_GB2312" w:cs="仿宋_GB2312"/>
          <w:b w:val="0"/>
          <w:bCs w:val="0"/>
          <w:color w:val="auto"/>
          <w:sz w:val="24"/>
          <w:szCs w:val="24"/>
          <w:lang w:eastAsia="zh-CN"/>
        </w:rPr>
        <w:t>人及联系</w:t>
      </w:r>
      <w:r>
        <w:rPr>
          <w:rFonts w:hint="eastAsia" w:ascii="仿宋_GB2312" w:hAnsi="仿宋_GB2312" w:eastAsia="仿宋_GB2312" w:cs="仿宋_GB2312"/>
          <w:b w:val="0"/>
          <w:bCs w:val="0"/>
          <w:color w:val="auto"/>
          <w:sz w:val="24"/>
          <w:szCs w:val="24"/>
        </w:rPr>
        <w:t>电话</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7、招标</w:t>
      </w:r>
      <w:r>
        <w:rPr>
          <w:rFonts w:hint="eastAsia" w:ascii="仿宋_GB2312" w:hAnsi="仿宋_GB2312" w:eastAsia="仿宋_GB2312" w:cs="仿宋_GB2312"/>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顺祝</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商祺</w:t>
      </w:r>
      <w:r>
        <w:rPr>
          <w:rFonts w:hint="eastAsia" w:ascii="仿宋_GB2312" w:hAnsi="仿宋_GB2312" w:cs="仿宋_GB2312"/>
          <w:b w:val="0"/>
          <w:bCs w:val="0"/>
          <w:color w:val="auto"/>
          <w:sz w:val="24"/>
          <w:szCs w:val="24"/>
          <w:lang w:eastAsia="zh-CN"/>
        </w:rPr>
        <w:t>！</w:t>
      </w:r>
    </w:p>
    <w:p>
      <w:pPr>
        <w:ind w:firstLine="4320" w:firstLineChars="18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进贤创控供应链金融有限责任公司</w:t>
      </w:r>
    </w:p>
    <w:p>
      <w:pPr>
        <w:rPr>
          <w:rFonts w:hint="eastAsia" w:ascii="仿宋_GB2312" w:hAnsi="仿宋_GB2312" w:eastAsia="仿宋_GB2312" w:cs="仿宋_GB2312"/>
          <w:b w:val="0"/>
          <w:bCs w:val="0"/>
          <w:color w:val="auto"/>
          <w:sz w:val="24"/>
          <w:szCs w:val="24"/>
          <w:lang w:eastAsia="zh-CN"/>
        </w:rPr>
      </w:pPr>
    </w:p>
    <w:p>
      <w:pPr>
        <w:jc w:val="center"/>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 xml:space="preserve"> 9 </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 xml:space="preserve"> 5 </w:t>
      </w:r>
      <w:r>
        <w:rPr>
          <w:rFonts w:hint="eastAsia" w:ascii="仿宋_GB2312" w:hAnsi="仿宋_GB2312" w:eastAsia="仿宋_GB2312" w:cs="仿宋_GB2312"/>
          <w:b w:val="0"/>
          <w:bCs w:val="0"/>
          <w:color w:val="auto"/>
          <w:sz w:val="24"/>
          <w:szCs w:val="24"/>
        </w:rPr>
        <w:t>日</w:t>
      </w:r>
    </w:p>
    <w:p>
      <w:pPr>
        <w:ind w:firstLine="6480" w:firstLineChars="2700"/>
        <w:rPr>
          <w:rFonts w:hint="eastAsia" w:ascii="仿宋_GB2312" w:hAnsi="仿宋_GB2312" w:eastAsia="仿宋_GB2312" w:cs="仿宋_GB2312"/>
          <w:b w:val="0"/>
          <w:bCs w:val="0"/>
          <w:color w:val="auto"/>
          <w:sz w:val="24"/>
          <w:szCs w:val="24"/>
        </w:rPr>
      </w:pPr>
    </w:p>
    <w:p>
      <w:pPr>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-----------------------------投标回函------------------------------</w:t>
      </w:r>
    </w:p>
    <w:p>
      <w:pPr>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致： 进贤创控供应链金融有限责任公司</w:t>
      </w:r>
    </w:p>
    <w:p>
      <w:pPr>
        <w:ind w:firstLine="480" w:firstLineChars="2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我公司</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rPr>
        <w:t>，于    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 日，接收到贵公司关于进贤县医科园邻里中心建设项目设计、采购、施工</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EPC) 总承包</w:t>
      </w:r>
      <w:r>
        <w:rPr>
          <w:rFonts w:hint="eastAsia" w:ascii="仿宋_GB2312" w:hAnsi="仿宋_GB2312" w:eastAsia="仿宋_GB2312" w:cs="仿宋_GB2312"/>
          <w:b w:val="0"/>
          <w:bCs w:val="0"/>
          <w:color w:val="auto"/>
          <w:sz w:val="24"/>
          <w:szCs w:val="24"/>
          <w:u w:val="single"/>
        </w:rPr>
        <w:t>项目</w:t>
      </w:r>
      <w:r>
        <w:rPr>
          <w:rFonts w:hint="eastAsia" w:ascii="仿宋_GB2312" w:hAnsi="仿宋_GB2312" w:eastAsia="仿宋_GB2312" w:cs="仿宋_GB2312"/>
          <w:b w:val="0"/>
          <w:bCs w:val="0"/>
          <w:color w:val="auto"/>
          <w:sz w:val="24"/>
          <w:szCs w:val="24"/>
        </w:rPr>
        <w:t>的招标书，经我公司研究决定，参与贵公司组织的对进贤县医科园邻里中心建设项目设计、采购、施工</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EPC) 总承包</w:t>
      </w:r>
      <w:r>
        <w:rPr>
          <w:rFonts w:hint="eastAsia" w:ascii="仿宋_GB2312" w:hAnsi="仿宋_GB2312" w:cs="仿宋_GB2312"/>
          <w:b w:val="0"/>
          <w:bCs w:val="0"/>
          <w:color w:val="auto"/>
          <w:sz w:val="24"/>
          <w:szCs w:val="24"/>
          <w:lang w:val="en-US" w:eastAsia="zh-CN"/>
        </w:rPr>
        <w:t>项目</w:t>
      </w:r>
      <w:r>
        <w:rPr>
          <w:rFonts w:hint="eastAsia" w:ascii="仿宋_GB2312" w:hAnsi="仿宋_GB2312" w:eastAsia="仿宋_GB2312" w:cs="仿宋_GB2312"/>
          <w:b w:val="0"/>
          <w:bCs w:val="0"/>
          <w:color w:val="auto"/>
          <w:sz w:val="24"/>
          <w:szCs w:val="24"/>
        </w:rPr>
        <w:t>的投标活动。</w:t>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特此回执</w:t>
      </w:r>
    </w:p>
    <w:p>
      <w:pPr>
        <w:rPr>
          <w:rFonts w:hint="eastAsia" w:ascii="仿宋_GB2312" w:hAnsi="仿宋_GB2312" w:eastAsia="仿宋_GB2312" w:cs="仿宋_GB2312"/>
          <w:b w:val="0"/>
          <w:bCs w:val="0"/>
          <w:color w:val="auto"/>
          <w:sz w:val="24"/>
          <w:szCs w:val="24"/>
        </w:rPr>
      </w:pPr>
    </w:p>
    <w:p>
      <w:pPr>
        <w:ind w:firstLine="5760" w:firstLineChars="24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投标单位：   （公章）</w:t>
      </w:r>
    </w:p>
    <w:p>
      <w:pPr>
        <w:rPr>
          <w:rFonts w:hint="eastAsia" w:ascii="仿宋_GB2312" w:hAnsi="仿宋_GB2312" w:eastAsia="仿宋_GB2312" w:cs="仿宋_GB2312"/>
          <w:b w:val="0"/>
          <w:bCs w:val="0"/>
          <w:color w:val="auto"/>
          <w:sz w:val="24"/>
          <w:szCs w:val="24"/>
        </w:rPr>
      </w:pPr>
    </w:p>
    <w:p>
      <w:pPr>
        <w:ind w:firstLine="6480" w:firstLineChars="2700"/>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日</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406" w:bottom="1440" w:left="1463"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14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1070B8F"/>
    <w:rsid w:val="01C0753F"/>
    <w:rsid w:val="049767FC"/>
    <w:rsid w:val="04B862AB"/>
    <w:rsid w:val="05C72F6F"/>
    <w:rsid w:val="065A3ABE"/>
    <w:rsid w:val="067250AD"/>
    <w:rsid w:val="06B156A8"/>
    <w:rsid w:val="09572537"/>
    <w:rsid w:val="0972111F"/>
    <w:rsid w:val="0D661202"/>
    <w:rsid w:val="0EE7194D"/>
    <w:rsid w:val="0F3F7999"/>
    <w:rsid w:val="0F97288A"/>
    <w:rsid w:val="14DA09F8"/>
    <w:rsid w:val="14FE3EF6"/>
    <w:rsid w:val="169138F9"/>
    <w:rsid w:val="18BB7122"/>
    <w:rsid w:val="1B544B28"/>
    <w:rsid w:val="1D3E783E"/>
    <w:rsid w:val="213F5933"/>
    <w:rsid w:val="214116AB"/>
    <w:rsid w:val="22B14323"/>
    <w:rsid w:val="281E297D"/>
    <w:rsid w:val="29174139"/>
    <w:rsid w:val="2D587740"/>
    <w:rsid w:val="2DA03204"/>
    <w:rsid w:val="2DE2567E"/>
    <w:rsid w:val="2EF064BE"/>
    <w:rsid w:val="2EF41EB0"/>
    <w:rsid w:val="2F230642"/>
    <w:rsid w:val="2FD17414"/>
    <w:rsid w:val="302C6C16"/>
    <w:rsid w:val="303E2DDE"/>
    <w:rsid w:val="33CE01F4"/>
    <w:rsid w:val="366854D4"/>
    <w:rsid w:val="3ADB500D"/>
    <w:rsid w:val="3BFC40D7"/>
    <w:rsid w:val="3E045CAE"/>
    <w:rsid w:val="3F50592A"/>
    <w:rsid w:val="40610B7B"/>
    <w:rsid w:val="41BC5367"/>
    <w:rsid w:val="43023FA3"/>
    <w:rsid w:val="443A04B0"/>
    <w:rsid w:val="466A7356"/>
    <w:rsid w:val="47FB61A8"/>
    <w:rsid w:val="4ED10B48"/>
    <w:rsid w:val="4FD3097A"/>
    <w:rsid w:val="4FF17618"/>
    <w:rsid w:val="51672156"/>
    <w:rsid w:val="54216C60"/>
    <w:rsid w:val="570F30D6"/>
    <w:rsid w:val="572E5657"/>
    <w:rsid w:val="57811AFA"/>
    <w:rsid w:val="5831796F"/>
    <w:rsid w:val="58FD57AA"/>
    <w:rsid w:val="598F04FE"/>
    <w:rsid w:val="5C427AAA"/>
    <w:rsid w:val="5EE813D7"/>
    <w:rsid w:val="61E34EC2"/>
    <w:rsid w:val="6445282D"/>
    <w:rsid w:val="646B7DB9"/>
    <w:rsid w:val="66BE0501"/>
    <w:rsid w:val="67AD7D09"/>
    <w:rsid w:val="69256789"/>
    <w:rsid w:val="6B7A358B"/>
    <w:rsid w:val="6C8C6B1F"/>
    <w:rsid w:val="6CAA568B"/>
    <w:rsid w:val="6D5C2995"/>
    <w:rsid w:val="6F221D05"/>
    <w:rsid w:val="70207B2A"/>
    <w:rsid w:val="70F13180"/>
    <w:rsid w:val="70F3156C"/>
    <w:rsid w:val="73DD4830"/>
    <w:rsid w:val="748E47D3"/>
    <w:rsid w:val="76391AC6"/>
    <w:rsid w:val="770E18B3"/>
    <w:rsid w:val="7A0534B8"/>
    <w:rsid w:val="7A17211E"/>
    <w:rsid w:val="7BB51BEE"/>
    <w:rsid w:val="7CDC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eastAsia" w:ascii="宋体" w:hAnsi="宋体" w:eastAsia="宋体" w:cs="宋体"/>
      <w:color w:val="000000"/>
      <w:sz w:val="19"/>
      <w:szCs w:val="19"/>
      <w:u w:val="none"/>
    </w:rPr>
  </w:style>
  <w:style w:type="character" w:customStyle="1" w:styleId="11">
    <w:name w:val="font51"/>
    <w:basedOn w:val="9"/>
    <w:qFormat/>
    <w:uiPriority w:val="0"/>
    <w:rPr>
      <w:rFonts w:hint="eastAsia" w:ascii="宋体" w:hAnsi="宋体" w:eastAsia="宋体" w:cs="宋体"/>
      <w:color w:val="000000"/>
      <w:sz w:val="19"/>
      <w:szCs w:val="19"/>
      <w:u w:val="none"/>
    </w:rPr>
  </w:style>
  <w:style w:type="character" w:customStyle="1" w:styleId="12">
    <w:name w:val="font31"/>
    <w:basedOn w:val="9"/>
    <w:qFormat/>
    <w:uiPriority w:val="0"/>
    <w:rPr>
      <w:rFonts w:hint="eastAsia" w:ascii="宋体" w:hAnsi="宋体" w:eastAsia="宋体" w:cs="宋体"/>
      <w:color w:val="000000"/>
      <w:sz w:val="19"/>
      <w:szCs w:val="19"/>
      <w:u w:val="none"/>
    </w:rPr>
  </w:style>
  <w:style w:type="character" w:customStyle="1" w:styleId="13">
    <w:name w:val="font11"/>
    <w:basedOn w:val="9"/>
    <w:qFormat/>
    <w:uiPriority w:val="0"/>
    <w:rPr>
      <w:rFonts w:hint="eastAsia" w:ascii="仿宋" w:hAnsi="仿宋" w:eastAsia="仿宋" w:cs="仿宋"/>
      <w:color w:val="000000"/>
      <w:sz w:val="24"/>
      <w:szCs w:val="24"/>
      <w:u w:val="none"/>
    </w:rPr>
  </w:style>
  <w:style w:type="character" w:customStyle="1" w:styleId="14">
    <w:name w:val="font41"/>
    <w:basedOn w:val="9"/>
    <w:qFormat/>
    <w:uiPriority w:val="0"/>
    <w:rPr>
      <w:rFonts w:hint="eastAsia" w:ascii="仿宋" w:hAnsi="仿宋" w:eastAsia="仿宋" w:cs="仿宋"/>
      <w:color w:val="000000"/>
      <w:sz w:val="24"/>
      <w:szCs w:val="24"/>
      <w:u w:val="single"/>
    </w:rPr>
  </w:style>
  <w:style w:type="character" w:customStyle="1" w:styleId="15">
    <w:name w:val="font61"/>
    <w:basedOn w:val="9"/>
    <w:qFormat/>
    <w:uiPriority w:val="0"/>
    <w:rPr>
      <w:rFonts w:hint="eastAsia" w:ascii="仿宋" w:hAnsi="仿宋" w:eastAsia="仿宋" w:cs="仿宋"/>
      <w:b/>
      <w:bCs/>
      <w:color w:val="FF0000"/>
      <w:sz w:val="24"/>
      <w:szCs w:val="24"/>
      <w:u w:val="none"/>
    </w:rPr>
  </w:style>
  <w:style w:type="character" w:customStyle="1" w:styleId="16">
    <w:name w:val="font71"/>
    <w:basedOn w:val="9"/>
    <w:qFormat/>
    <w:uiPriority w:val="0"/>
    <w:rPr>
      <w:rFonts w:hint="eastAsia" w:ascii="仿宋" w:hAnsi="仿宋" w:eastAsia="仿宋" w:cs="仿宋"/>
      <w:color w:val="000000"/>
      <w:sz w:val="24"/>
      <w:szCs w:val="24"/>
      <w:u w:val="none"/>
    </w:rPr>
  </w:style>
  <w:style w:type="character" w:customStyle="1" w:styleId="17">
    <w:name w:val="font81"/>
    <w:basedOn w:val="9"/>
    <w:qFormat/>
    <w:uiPriority w:val="0"/>
    <w:rPr>
      <w:rFonts w:hint="eastAsia" w:ascii="仿宋" w:hAnsi="仿宋" w:eastAsia="仿宋" w:cs="仿宋"/>
      <w:b/>
      <w:bCs/>
      <w:color w:val="000000"/>
      <w:sz w:val="24"/>
      <w:szCs w:val="24"/>
      <w:u w:val="none"/>
    </w:rPr>
  </w:style>
  <w:style w:type="character" w:customStyle="1" w:styleId="18">
    <w:name w:val="font91"/>
    <w:basedOn w:val="9"/>
    <w:qFormat/>
    <w:uiPriority w:val="0"/>
    <w:rPr>
      <w:rFonts w:hint="eastAsia" w:ascii="仿宋" w:hAnsi="仿宋" w:eastAsia="仿宋" w:cs="仿宋"/>
      <w:color w:val="000000"/>
      <w:sz w:val="21"/>
      <w:szCs w:val="21"/>
      <w:u w:val="none"/>
    </w:rPr>
  </w:style>
  <w:style w:type="paragraph" w:customStyle="1" w:styleId="19">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2514</Words>
  <Characters>2984</Characters>
  <Lines>0</Lines>
  <Paragraphs>0</Paragraphs>
  <TotalTime>18</TotalTime>
  <ScaleCrop>false</ScaleCrop>
  <LinksUpToDate>false</LinksUpToDate>
  <CharactersWithSpaces>3249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2023-09-06T09:23:19Z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93C052052C254D66AC86ABCBAB1C58EE_13</vt:lpwstr>
  </property>
</Properties>
</file>