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ascii="仿宋_GB2312" w:hAnsi="仿宋_GB2312" w:eastAsia="仿宋_GB2312" w:cs="仿宋_GB2312"/>
          <w:sz w:val="36"/>
          <w:szCs w:val="28"/>
        </w:rPr>
      </w:pPr>
      <w:r>
        <w:rPr>
          <w:rFonts w:hint="eastAsia" w:ascii="仿宋_GB2312" w:hAnsi="仿宋_GB2312" w:eastAsia="仿宋_GB2312" w:cs="仿宋_GB2312"/>
          <w:sz w:val="36"/>
          <w:szCs w:val="28"/>
        </w:rPr>
        <w:t>进贤创控供应链金融有限责任公司询价采购询价书</w:t>
      </w: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rPr>
        <w:t>各报价单位:</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本单位拟就2023年进贤县“两整治一提升”农村公路路面改造工程设计采购施工（EPC）总承包项目的沥青混凝土（沥青碎石为黑色）组织询价采购，诚邀符合资格条件的供应商参加本项目询价采购活动。</w:t>
      </w:r>
      <w:r>
        <w:rPr>
          <w:rFonts w:hint="eastAsia" w:ascii="仿宋_GB2312" w:hAnsi="仿宋_GB2312" w:eastAsia="仿宋_GB2312" w:cs="仿宋_GB2312"/>
          <w:color w:val="000000" w:themeColor="text1"/>
          <w:lang w:val="en-US" w:eastAsia="zh-CN"/>
          <w14:textFill>
            <w14:solidFill>
              <w14:schemeClr w14:val="tx1"/>
            </w14:solidFill>
          </w14:textFill>
        </w:rPr>
        <w:t>请贵单位于2023年11月</w:t>
      </w:r>
      <w:r>
        <w:rPr>
          <w:rFonts w:hint="eastAsia" w:ascii="仿宋_GB2312" w:hAnsi="仿宋_GB2312" w:cs="仿宋_GB2312"/>
          <w:color w:val="000000" w:themeColor="text1"/>
          <w:lang w:val="en-US" w:eastAsia="zh-CN"/>
          <w14:textFill>
            <w14:solidFill>
              <w14:schemeClr w14:val="tx1"/>
            </w14:solidFill>
          </w14:textFill>
        </w:rPr>
        <w:t>20</w:t>
      </w:r>
      <w:r>
        <w:rPr>
          <w:rFonts w:hint="eastAsia" w:ascii="仿宋_GB2312" w:hAnsi="仿宋_GB2312" w:eastAsia="仿宋_GB2312" w:cs="仿宋_GB2312"/>
          <w:color w:val="000000" w:themeColor="text1"/>
          <w:lang w:val="en-US" w:eastAsia="zh-CN"/>
          <w14:textFill>
            <w14:solidFill>
              <w14:schemeClr w14:val="tx1"/>
            </w14:solidFill>
          </w14:textFill>
        </w:rPr>
        <w:t>日至2023年11月</w:t>
      </w:r>
      <w:r>
        <w:rPr>
          <w:rFonts w:hint="eastAsia" w:ascii="仿宋_GB2312" w:hAnsi="仿宋_GB2312" w:cs="仿宋_GB2312"/>
          <w:color w:val="000000" w:themeColor="text1"/>
          <w:lang w:val="en-US" w:eastAsia="zh-CN"/>
          <w14:textFill>
            <w14:solidFill>
              <w14:schemeClr w14:val="tx1"/>
            </w14:solidFill>
          </w14:textFill>
        </w:rPr>
        <w:t>23</w:t>
      </w:r>
      <w:r>
        <w:rPr>
          <w:rFonts w:hint="eastAsia" w:ascii="仿宋_GB2312" w:hAnsi="仿宋_GB2312" w:eastAsia="仿宋_GB2312" w:cs="仿宋_GB2312"/>
          <w:color w:val="000000" w:themeColor="text1"/>
          <w:lang w:val="en-US" w:eastAsia="zh-CN"/>
          <w14:textFill>
            <w14:solidFill>
              <w14:schemeClr w14:val="tx1"/>
            </w14:solidFill>
          </w14:textFill>
        </w:rPr>
        <w:t>日下午15：00之前按本询价的要求和响应文件格式予以送往进贤创控供应链金融有限责任公司，此次报价均采用纸质文件到现场的形式，报价文件由进贤创控供应链金融有限责任公司统一收取。2023年11月</w:t>
      </w:r>
      <w:r>
        <w:rPr>
          <w:rFonts w:hint="eastAsia" w:ascii="仿宋_GB2312" w:hAnsi="仿宋_GB2312" w:cs="仿宋_GB2312"/>
          <w:color w:val="000000" w:themeColor="text1"/>
          <w:lang w:val="en-US" w:eastAsia="zh-CN"/>
          <w14:textFill>
            <w14:solidFill>
              <w14:schemeClr w14:val="tx1"/>
            </w14:solidFill>
          </w14:textFill>
        </w:rPr>
        <w:t>23</w:t>
      </w:r>
      <w:r>
        <w:rPr>
          <w:rFonts w:hint="eastAsia" w:ascii="仿宋_GB2312" w:hAnsi="仿宋_GB2312" w:eastAsia="仿宋_GB2312" w:cs="仿宋_GB2312"/>
          <w:color w:val="000000" w:themeColor="text1"/>
          <w:lang w:val="en-US" w:eastAsia="zh-CN"/>
          <w14:textFill>
            <w14:solidFill>
              <w14:schemeClr w14:val="tx1"/>
            </w14:solidFill>
          </w14:textFill>
        </w:rPr>
        <w:t>日下午15：00之后送达至进贤创控供应链金融有限责任公司的报价文件均为无效。</w:t>
      </w:r>
    </w:p>
    <w:p>
      <w:pPr>
        <w:pStyle w:val="3"/>
        <w:pageBreakBefore w:val="0"/>
        <w:widowControl w:val="0"/>
        <w:numPr>
          <w:ilvl w:val="0"/>
          <w:numId w:val="0"/>
        </w:numPr>
        <w:kinsoku/>
        <w:wordWrap/>
        <w:overflowPunct/>
        <w:topLinePunct w:val="0"/>
        <w:autoSpaceDE/>
        <w:autoSpaceDN/>
        <w:bidi w:val="0"/>
        <w:adjustRightInd/>
        <w:snapToGrid/>
        <w:spacing w:line="596" w:lineRule="exact"/>
        <w:ind w:firstLine="562" w:firstLineChars="200"/>
        <w:textAlignment w:val="auto"/>
        <w:rPr>
          <w:rFonts w:hint="eastAsia" w:ascii="仿宋_GB2312" w:hAnsi="仿宋_GB2312" w:eastAsia="仿宋_GB2312" w:cs="仿宋_GB2312"/>
          <w:b/>
          <w:kern w:val="2"/>
          <w:sz w:val="28"/>
          <w:szCs w:val="24"/>
          <w:lang w:val="en-US" w:eastAsia="zh-CN" w:bidi="ar-SA"/>
        </w:rPr>
      </w:pPr>
      <w:r>
        <w:rPr>
          <w:rFonts w:hint="eastAsia" w:ascii="仿宋_GB2312" w:hAnsi="仿宋_GB2312" w:eastAsia="仿宋_GB2312" w:cs="仿宋_GB2312"/>
          <w:b/>
          <w:kern w:val="2"/>
          <w:sz w:val="28"/>
          <w:szCs w:val="24"/>
          <w:lang w:val="en-US" w:eastAsia="zh-CN" w:bidi="ar-SA"/>
        </w:rPr>
        <w:t>一、采购单位信息</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2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66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进贤创控供应链金融有限责任公司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268" w:type="dxa"/>
            <w:tcBorders>
              <w:top w:val="single" w:color="auto" w:sz="4" w:space="0"/>
              <w:left w:val="single" w:color="auto" w:sz="4" w:space="0"/>
              <w:bottom w:val="single" w:color="auto" w:sz="4" w:space="0"/>
              <w:right w:val="single" w:color="000000" w:sz="4" w:space="0"/>
            </w:tcBorders>
            <w:vAlign w:val="center"/>
          </w:tcPr>
          <w:p>
            <w:pPr>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址：</w:t>
            </w:r>
          </w:p>
        </w:tc>
        <w:tc>
          <w:tcPr>
            <w:tcW w:w="6691"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江西省南昌市进贤县民和镇民和路工人文化宫1304办公室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2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联系人及电话：</w:t>
            </w:r>
          </w:p>
        </w:tc>
        <w:tc>
          <w:tcPr>
            <w:tcW w:w="669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胡</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凯</w:t>
            </w:r>
            <w:r>
              <w:rPr>
                <w:rFonts w:hint="eastAsia" w:ascii="仿宋_GB2312" w:hAnsi="仿宋_GB2312" w:eastAsia="仿宋_GB2312" w:cs="仿宋_GB2312"/>
                <w:sz w:val="28"/>
                <w:szCs w:val="28"/>
              </w:rPr>
              <w:t>13330106237</w:t>
            </w:r>
          </w:p>
        </w:tc>
      </w:tr>
    </w:tbl>
    <w:p>
      <w:pPr>
        <w:pStyle w:val="3"/>
        <w:pageBreakBefore w:val="0"/>
        <w:widowControl w:val="0"/>
        <w:numPr>
          <w:ilvl w:val="0"/>
          <w:numId w:val="0"/>
        </w:numPr>
        <w:kinsoku/>
        <w:wordWrap/>
        <w:overflowPunct/>
        <w:topLinePunct w:val="0"/>
        <w:autoSpaceDE/>
        <w:autoSpaceDN/>
        <w:bidi w:val="0"/>
        <w:adjustRightInd/>
        <w:snapToGrid/>
        <w:spacing w:line="596" w:lineRule="exact"/>
        <w:ind w:firstLine="562" w:firstLineChars="200"/>
        <w:textAlignment w:val="auto"/>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二、</w:t>
      </w:r>
      <w:r>
        <w:rPr>
          <w:rFonts w:hint="eastAsia" w:ascii="仿宋_GB2312" w:hAnsi="仿宋_GB2312" w:eastAsia="仿宋_GB2312" w:cs="仿宋_GB2312"/>
        </w:rPr>
        <w:t>服务项目概况</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rPr>
      </w:pPr>
      <w:r>
        <w:rPr>
          <w:rFonts w:hint="eastAsia" w:ascii="仿宋_GB2312" w:hAnsi="仿宋_GB2312" w:eastAsia="仿宋_GB2312" w:cs="仿宋_GB2312"/>
        </w:rPr>
        <w:t>工程内容：进贤县“两整治一提升”农村公路路面改造工程设计采购施工（EPC）总承包项目位于南昌市进贤县各乡镇境内，将原有路段水泥路面改造成为沥青路面。项目业主：进贤城市建设投资发展集团有限公司；行业主管单位:进贤县交通运输局。</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采购产品的名称、规格、数量</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default" w:ascii="Segoe UI Light" w:hAnsi="Segoe UI Light" w:eastAsia="仿宋_GB2312" w:cs="Segoe UI Light"/>
          <w:lang w:val="en-US" w:eastAsia="zh-CN"/>
        </w:rPr>
      </w:pPr>
      <w:r>
        <w:rPr>
          <w:rFonts w:hint="default" w:ascii="Segoe UI Light" w:hAnsi="Segoe UI Light" w:eastAsia="仿宋_GB2312" w:cs="Segoe UI Light"/>
        </w:rPr>
        <w:t>进贤县“两整治一提升”农村公路路面改造工程设计采购施工（EPC）总承包项目</w:t>
      </w:r>
      <w:r>
        <w:rPr>
          <w:rFonts w:hint="default" w:ascii="Segoe UI Light" w:hAnsi="Segoe UI Light" w:eastAsia="仿宋_GB2312" w:cs="Segoe UI Light"/>
          <w:lang w:val="en-US" w:eastAsia="zh-CN"/>
        </w:rPr>
        <w:t>主材采购</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default" w:ascii="Segoe UI Light" w:hAnsi="Segoe UI Light" w:eastAsia="仿宋_GB2312" w:cs="Segoe UI Light"/>
          <w:lang w:eastAsia="zh-CN"/>
        </w:rPr>
      </w:pPr>
      <w:r>
        <w:rPr>
          <w:rFonts w:hint="default" w:ascii="Segoe UI Light" w:hAnsi="Segoe UI Light" w:eastAsia="仿宋_GB2312" w:cs="Segoe UI Light"/>
        </w:rPr>
        <w:t>一标段</w:t>
      </w:r>
    </w:p>
    <w:tbl>
      <w:tblPr>
        <w:tblStyle w:val="9"/>
        <w:tblpPr w:leftFromText="180" w:rightFromText="180" w:vertAnchor="text" w:tblpXSpec="center" w:tblpY="1"/>
        <w:tblOverlap w:val="never"/>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1803"/>
        <w:gridCol w:w="2081"/>
        <w:gridCol w:w="2233"/>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所属乡镇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AC-13改性沥青混凝土（㎥）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AC-20普通沥青混凝土（㎥）</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AC-13普通沥青混凝土（㎥）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白圩乡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5289</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架桥镇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2750.8</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676.2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李渡镇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1276.8</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1915.2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温圳镇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1814.4</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2721.6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文港镇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长山晏乡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2798.4</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泉岭乡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708.6</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张公镇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民和镇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2857.17</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1693.8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罗溪镇</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2154.28</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3231.42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19649.45</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10391.22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方量换算成吨数系数为*2.4</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方量换算成吨数系数为*2.38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方量换算成吨数系数为*2.4</w:t>
            </w:r>
          </w:p>
        </w:tc>
      </w:tr>
    </w:tbl>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default" w:ascii="Segoe UI Light" w:hAnsi="Segoe UI Light" w:eastAsia="仿宋_GB2312" w:cs="Segoe UI Light"/>
          <w:lang w:eastAsia="zh-CN"/>
        </w:rPr>
      </w:pPr>
      <w:r>
        <w:rPr>
          <w:rFonts w:hint="eastAsia" w:ascii="Segoe UI Light" w:hAnsi="Segoe UI Light" w:cs="Segoe UI Light"/>
          <w:lang w:val="en-US" w:eastAsia="zh-CN"/>
        </w:rPr>
        <w:t>二</w:t>
      </w:r>
      <w:r>
        <w:rPr>
          <w:rFonts w:hint="default" w:ascii="Segoe UI Light" w:hAnsi="Segoe UI Light" w:eastAsia="仿宋_GB2312" w:cs="Segoe UI Light"/>
        </w:rPr>
        <w:t>标段</w:t>
      </w:r>
    </w:p>
    <w:tbl>
      <w:tblPr>
        <w:tblStyle w:val="9"/>
        <w:tblpPr w:leftFromText="180" w:rightFromText="180" w:vertAnchor="text" w:tblpXSpec="center" w:tblpY="1"/>
        <w:tblOverlap w:val="never"/>
        <w:tblW w:w="50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1815"/>
        <w:gridCol w:w="2094"/>
        <w:gridCol w:w="2248"/>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所属乡镇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AC-13改性沥青混凝土（㎥）</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AC-20普通沥青混凝土（㎥）</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AC-13普通沥青混凝土（㎥）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池溪乡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2569.62</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3913.05</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梅庄镇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2764.8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4206.6</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七里乡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2649.6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前坊镇</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三里乡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2557.26</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三阳集乡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钟陵乡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10541.28</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8119.65</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方量换算成吨数系数为*2.4</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方量换算成吨数系数为*2.38</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方量换算成吨数系数为*2.4</w:t>
            </w:r>
          </w:p>
        </w:tc>
      </w:tr>
    </w:tbl>
    <w:p>
      <w:pPr>
        <w:pStyle w:val="3"/>
        <w:numPr>
          <w:ilvl w:val="0"/>
          <w:numId w:val="0"/>
        </w:numPr>
        <w:bidi w:val="0"/>
        <w:ind w:left="0" w:leftChars="0" w:firstLine="560" w:firstLineChars="200"/>
        <w:rPr>
          <w:rFonts w:hint="default" w:ascii="Segoe UI Light" w:hAnsi="Segoe UI Light" w:eastAsia="仿宋_GB2312" w:cs="Segoe UI Light"/>
          <w:b w:val="0"/>
          <w:bCs w:val="0"/>
          <w:color w:val="000000" w:themeColor="text1"/>
          <w:sz w:val="28"/>
          <w:szCs w:val="28"/>
          <w14:textFill>
            <w14:solidFill>
              <w14:schemeClr w14:val="tx1"/>
            </w14:solidFill>
          </w14:textFill>
        </w:rPr>
      </w:pPr>
      <w:r>
        <w:rPr>
          <w:rFonts w:hint="default" w:ascii="Segoe UI Light" w:hAnsi="Segoe UI Light" w:eastAsia="仿宋_GB2312" w:cs="Segoe UI Light"/>
          <w:b w:val="0"/>
          <w:bCs w:val="0"/>
          <w:color w:val="000000" w:themeColor="text1"/>
          <w:sz w:val="28"/>
          <w:szCs w:val="28"/>
          <w14:textFill>
            <w14:solidFill>
              <w14:schemeClr w14:val="tx1"/>
            </w14:solidFill>
          </w14:textFill>
        </w:rPr>
        <w:t>注：</w:t>
      </w:r>
      <w:r>
        <w:rPr>
          <w:rFonts w:hint="eastAsia" w:ascii="Segoe UI Light" w:hAnsi="Segoe UI Light" w:cs="Segoe UI Light"/>
          <w:b w:val="0"/>
          <w:bCs w:val="0"/>
          <w:color w:val="000000" w:themeColor="text1"/>
          <w:sz w:val="28"/>
          <w:szCs w:val="28"/>
          <w:lang w:val="en-US" w:eastAsia="zh-CN"/>
          <w14:textFill>
            <w14:solidFill>
              <w14:schemeClr w14:val="tx1"/>
            </w14:solidFill>
          </w14:textFill>
        </w:rPr>
        <w:t>以</w:t>
      </w:r>
      <w:r>
        <w:rPr>
          <w:rFonts w:hint="default" w:ascii="Segoe UI Light" w:hAnsi="Segoe UI Light" w:eastAsia="仿宋_GB2312" w:cs="Segoe UI Light"/>
          <w:b w:val="0"/>
          <w:bCs w:val="0"/>
          <w:color w:val="000000" w:themeColor="text1"/>
          <w:sz w:val="28"/>
          <w:szCs w:val="28"/>
          <w14:textFill>
            <w14:solidFill>
              <w14:schemeClr w14:val="tx1"/>
            </w14:solidFill>
          </w14:textFill>
        </w:rPr>
        <w:t>实际送货量为准。</w:t>
      </w:r>
    </w:p>
    <w:p>
      <w:pPr>
        <w:pStyle w:val="3"/>
        <w:pageBreakBefore w:val="0"/>
        <w:widowControl w:val="0"/>
        <w:numPr>
          <w:ilvl w:val="0"/>
          <w:numId w:val="0"/>
        </w:numPr>
        <w:kinsoku/>
        <w:wordWrap/>
        <w:overflowPunct/>
        <w:topLinePunct w:val="0"/>
        <w:autoSpaceDE/>
        <w:autoSpaceDN/>
        <w:bidi w:val="0"/>
        <w:adjustRightInd/>
        <w:snapToGrid/>
        <w:spacing w:line="596" w:lineRule="exact"/>
        <w:ind w:firstLine="562" w:firstLineChars="200"/>
        <w:textAlignment w:val="auto"/>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三、</w:t>
      </w:r>
      <w:r>
        <w:rPr>
          <w:rFonts w:hint="eastAsia" w:ascii="仿宋_GB2312" w:hAnsi="仿宋_GB2312" w:eastAsia="仿宋_GB2312" w:cs="仿宋_GB2312"/>
        </w:rPr>
        <w:t>质量</w:t>
      </w:r>
      <w:r>
        <w:rPr>
          <w:rFonts w:hint="eastAsia" w:ascii="仿宋_GB2312" w:hAnsi="仿宋_GB2312" w:cs="仿宋_GB2312"/>
          <w:lang w:val="en-US" w:eastAsia="zh-CN"/>
        </w:rPr>
        <w:t>和项目</w:t>
      </w:r>
      <w:r>
        <w:rPr>
          <w:rFonts w:hint="eastAsia" w:ascii="仿宋_GB2312" w:hAnsi="仿宋_GB2312" w:eastAsia="仿宋_GB2312" w:cs="仿宋_GB2312"/>
        </w:rPr>
        <w:t>要求</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产品的质量应满足业主、监理及买方工程施工的需要。</w:t>
      </w:r>
    </w:p>
    <w:p>
      <w:pPr>
        <w:pageBreakBefore w:val="0"/>
        <w:widowControl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产品的质量及技术标准应符合国家最新相关技术标准。</w:t>
      </w:r>
    </w:p>
    <w:p>
      <w:pPr>
        <w:pStyle w:val="12"/>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项目开工前中标的供应商需提供供应沥青混凝土的配合比，并同时提供合法合规的第三方检测机构出具的目标配合比报告及原材料检测报告。正常生产后，需提供第三方检测出具的生产配合比及原材料检测报告。</w:t>
      </w:r>
    </w:p>
    <w:p>
      <w:pPr>
        <w:pStyle w:val="12"/>
        <w:ind w:firstLine="560" w:firstLineChars="200"/>
        <w:rPr>
          <w:rFonts w:hint="eastAsia" w:ascii="仿宋_GB2312" w:hAnsi="仿宋_GB2312" w:eastAsia="仿宋_GB2312" w:cs="仿宋_GB2312"/>
          <w:color w:val="FF0000"/>
          <w:kern w:val="2"/>
          <w:sz w:val="28"/>
          <w:szCs w:val="24"/>
          <w:lang w:val="en-US" w:eastAsia="zh-CN" w:bidi="ar-SA"/>
        </w:rPr>
      </w:pPr>
      <w:r>
        <w:rPr>
          <w:rFonts w:hint="eastAsia" w:ascii="仿宋_GB2312" w:hAnsi="仿宋_GB2312" w:eastAsia="仿宋_GB2312" w:cs="仿宋_GB2312"/>
          <w:color w:val="FF0000"/>
          <w:kern w:val="2"/>
          <w:sz w:val="28"/>
          <w:szCs w:val="24"/>
          <w:lang w:val="en-US" w:eastAsia="zh-CN" w:bidi="ar-SA"/>
        </w:rPr>
        <w:t>4、同一项目主体因为量大分为多标段，且多标段为同一供应商中标，则采用“兼投不兼中”：意思是投标人可以同时参与投多个标，但是只可以中一个，不可以全中。多标段价格都中标的第一名的供应商只能选中标其一标段供应，其余标段则由中标排序的第二名供应商以第一名的价格供应，以此类推，如中标前三名都不供应，则此次询价作废。</w:t>
      </w:r>
    </w:p>
    <w:p>
      <w:pPr>
        <w:pStyle w:val="3"/>
        <w:pageBreakBefore w:val="0"/>
        <w:widowControl w:val="0"/>
        <w:numPr>
          <w:ilvl w:val="0"/>
          <w:numId w:val="0"/>
        </w:numPr>
        <w:kinsoku/>
        <w:wordWrap/>
        <w:overflowPunct/>
        <w:topLinePunct w:val="0"/>
        <w:autoSpaceDE/>
        <w:autoSpaceDN/>
        <w:bidi w:val="0"/>
        <w:adjustRightInd/>
        <w:snapToGrid/>
        <w:spacing w:line="596" w:lineRule="exact"/>
        <w:ind w:firstLine="562" w:firstLineChars="200"/>
        <w:textAlignment w:val="auto"/>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四、</w:t>
      </w:r>
      <w:r>
        <w:rPr>
          <w:rFonts w:hint="eastAsia" w:ascii="仿宋_GB2312" w:hAnsi="仿宋_GB2312" w:eastAsia="仿宋_GB2312" w:cs="仿宋_GB2312"/>
        </w:rPr>
        <w:t>结算与支付</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结算方式：</w:t>
      </w:r>
      <w:r>
        <w:rPr>
          <w:rFonts w:hint="eastAsia"/>
        </w:rPr>
        <w:t>物运抵现场</w:t>
      </w:r>
      <w:r>
        <w:rPr>
          <w:rFonts w:hint="eastAsia" w:ascii="仿宋_GB2312" w:hAnsi="仿宋_GB2312" w:eastAsia="仿宋_GB2312" w:cs="仿宋_GB2312"/>
          <w:sz w:val="28"/>
          <w:szCs w:val="28"/>
        </w:rPr>
        <w:t>交付并经验收合格后，买方应在次月5日前同卖方办理最终结算手续，双方确定合同结算总额；</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val="en-US" w:eastAsia="zh-CN"/>
        </w:rPr>
        <w:t>、南昌区域建设造价当期信息价：</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lang w:val="en-US" w:eastAsia="zh-CN"/>
        </w:rPr>
        <w:t>根据供货当月“江西省南昌地区当月信息价（江西省住房和城乡建设厅http://zjt.jiangxi.gov.cn/col/col69008/index.html）”公布的相应标号为基准价。</w:t>
      </w:r>
    </w:p>
    <w:p>
      <w:pPr>
        <w:pStyle w:val="3"/>
        <w:numPr>
          <w:ilvl w:val="0"/>
          <w:numId w:val="0"/>
        </w:numPr>
        <w:ind w:left="280" w:leftChars="0" w:firstLine="560" w:firstLineChars="0"/>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五、</w:t>
      </w:r>
      <w:r>
        <w:rPr>
          <w:rFonts w:hint="eastAsia" w:ascii="仿宋_GB2312" w:hAnsi="仿宋_GB2312" w:eastAsia="仿宋_GB2312" w:cs="仿宋_GB2312"/>
        </w:rPr>
        <w:t>开票信息</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0"/>
        <w:gridCol w:w="5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发票种类：</w:t>
            </w:r>
          </w:p>
        </w:tc>
        <w:tc>
          <w:tcPr>
            <w:tcW w:w="59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增值税专用发票（13%的税率）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发票抬头：</w:t>
            </w:r>
          </w:p>
        </w:tc>
        <w:tc>
          <w:tcPr>
            <w:tcW w:w="59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进贤创控供应链金融有限责任公司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税号：</w:t>
            </w:r>
          </w:p>
        </w:tc>
        <w:tc>
          <w:tcPr>
            <w:tcW w:w="59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91360124MA7MJ1F44B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593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六、</w:t>
      </w:r>
      <w:r>
        <w:rPr>
          <w:rFonts w:hint="eastAsia" w:ascii="仿宋_GB2312" w:hAnsi="仿宋_GB2312" w:eastAsia="仿宋_GB2312" w:cs="仿宋_GB2312"/>
        </w:rPr>
        <w:t>供应商资格条件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4、质量保证能力要求：投标供应商应保证产品必须是全新、未使用过的原装合格正品，完全符合采购文件规定的质量、规格和性能的要求，具有履行合同所必需的设备和专业技术能力；</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_GB2312" w:hAnsi="仿宋_GB2312" w:eastAsia="仿宋_GB2312" w:cs="仿宋_GB2312"/>
        </w:rPr>
      </w:pPr>
      <w:r>
        <w:rPr>
          <w:rFonts w:hint="eastAsia" w:ascii="仿宋_GB2312" w:hAnsi="仿宋_GB2312" w:eastAsia="仿宋_GB2312" w:cs="仿宋_GB2312"/>
          <w:b/>
          <w:kern w:val="2"/>
          <w:sz w:val="28"/>
          <w:szCs w:val="24"/>
          <w:lang w:val="en-US" w:eastAsia="zh-CN" w:bidi="ar-SA"/>
        </w:rPr>
        <w:t>七、</w:t>
      </w:r>
      <w:r>
        <w:rPr>
          <w:rFonts w:hint="eastAsia" w:ascii="仿宋_GB2312" w:hAnsi="仿宋_GB2312" w:eastAsia="仿宋_GB2312" w:cs="仿宋_GB2312"/>
        </w:rPr>
        <w:t>响应文件递交</w:t>
      </w:r>
    </w:p>
    <w:p>
      <w:pPr>
        <w:pageBreakBefore w:val="0"/>
        <w:widowControl w:val="0"/>
        <w:kinsoku/>
        <w:wordWrap/>
        <w:overflowPunct/>
        <w:topLinePunct w:val="0"/>
        <w:autoSpaceDE/>
        <w:autoSpaceDN/>
        <w:bidi w:val="0"/>
        <w:adjustRightInd/>
        <w:snapToGrid/>
        <w:spacing w:line="596" w:lineRule="exact"/>
        <w:ind w:firstLine="560"/>
        <w:textAlignment w:val="auto"/>
        <w:rPr>
          <w:rFonts w:hint="eastAsia" w:ascii="仿宋_GB2312" w:hAnsi="仿宋_GB2312" w:eastAsia="仿宋_GB2312" w:cs="仿宋_GB2312"/>
        </w:rPr>
      </w:pPr>
      <w:r>
        <w:rPr>
          <w:rFonts w:hint="eastAsia" w:ascii="仿宋_GB2312" w:hAnsi="仿宋_GB2312" w:eastAsia="仿宋_GB2312" w:cs="仿宋_GB2312"/>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2、营业执照</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3、法人身份证复印件</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4、一般纳税人证明</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5、近三年承担相关工程业绩证明（如合同复印件、中标通知书等）</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6、建筑业企业资质证书</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lang w:val="en-US" w:eastAsia="zh-CN"/>
        </w:rPr>
        <w:t>报价单位按以上顺序加盖公章，装订成册（可邮寄，邮寄地址：胡丽花15970497219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_GB2312" w:hAnsi="仿宋_GB2312" w:eastAsia="仿宋_GB2312" w:cs="仿宋_GB2312"/>
          <w:b/>
          <w:kern w:val="2"/>
          <w:sz w:val="28"/>
          <w:szCs w:val="24"/>
          <w:lang w:val="en-US" w:eastAsia="zh-CN" w:bidi="ar-SA"/>
        </w:rPr>
      </w:pPr>
      <w:r>
        <w:rPr>
          <w:rFonts w:hint="eastAsia" w:ascii="仿宋_GB2312" w:hAnsi="仿宋_GB2312" w:eastAsia="仿宋_GB2312" w:cs="仿宋_GB2312"/>
          <w:b/>
          <w:kern w:val="2"/>
          <w:sz w:val="28"/>
          <w:szCs w:val="24"/>
          <w:lang w:val="en-US" w:eastAsia="zh-CN" w:bidi="ar-SA"/>
        </w:rPr>
        <w:t>八、其他事项</w:t>
      </w:r>
    </w:p>
    <w:p>
      <w:pPr>
        <w:pageBreakBefore w:val="0"/>
        <w:widowControl w:val="0"/>
        <w:numPr>
          <w:ilvl w:val="0"/>
          <w:numId w:val="0"/>
        </w:numPr>
        <w:kinsoku/>
        <w:wordWrap/>
        <w:overflowPunct/>
        <w:topLinePunct w:val="0"/>
        <w:autoSpaceDE/>
        <w:autoSpaceDN/>
        <w:bidi w:val="0"/>
        <w:adjustRightInd/>
        <w:snapToGrid/>
        <w:spacing w:line="596" w:lineRule="exact"/>
        <w:ind w:firstLine="56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lang w:val="en-US" w:eastAsia="zh-CN"/>
        </w:rPr>
        <w:t>本次询价评选办法选用“经评审的最低投标价</w:t>
      </w:r>
      <w:r>
        <w:rPr>
          <w:rFonts w:hint="eastAsia" w:ascii="仿宋_GB2312" w:hAnsi="仿宋_GB2312" w:eastAsia="仿宋_GB2312" w:cs="仿宋_GB2312"/>
          <w:color w:val="auto"/>
          <w:lang w:val="en-US" w:eastAsia="zh-CN"/>
        </w:rPr>
        <w:t>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w:t>
      </w:r>
      <w:r>
        <w:rPr>
          <w:rFonts w:hint="eastAsia" w:ascii="仿宋_GB2312" w:hAnsi="仿宋_GB2312" w:eastAsia="仿宋_GB2312" w:cs="仿宋_GB2312"/>
          <w:lang w:val="en-US" w:eastAsia="zh-CN"/>
        </w:rPr>
        <w:t>低价，则采用摇号规则，第一轮摇号10个球中抽取抽签顺序，号码球序号标注的数字小的为第一位，依次排序，第二轮摇号则抽取排名顺序，号码球序号标注的数字小的为第一名，依次类推。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_GB2312" w:hAnsi="仿宋_GB2312" w:eastAsia="仿宋_GB2312" w:cs="仿宋_GB2312"/>
          <w:b/>
          <w:kern w:val="2"/>
          <w:sz w:val="28"/>
          <w:szCs w:val="24"/>
          <w:lang w:val="en-US" w:eastAsia="zh-CN" w:bidi="ar-SA"/>
        </w:rPr>
      </w:pPr>
      <w:r>
        <w:rPr>
          <w:rFonts w:hint="eastAsia" w:ascii="仿宋_GB2312" w:hAnsi="仿宋_GB2312" w:eastAsia="仿宋_GB2312" w:cs="仿宋_GB2312"/>
          <w:b/>
          <w:kern w:val="2"/>
          <w:sz w:val="28"/>
          <w:szCs w:val="24"/>
          <w:lang w:val="en-US" w:eastAsia="zh-CN" w:bidi="ar-SA"/>
        </w:rPr>
        <w:t>九、交货信息</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收货人：胡  凯；</w:t>
      </w:r>
    </w:p>
    <w:p>
      <w:pPr>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联系电话：</w:t>
      </w:r>
      <w:r>
        <w:rPr>
          <w:rFonts w:hint="eastAsia" w:ascii="仿宋_GB2312" w:hAnsi="仿宋_GB2312" w:eastAsia="仿宋_GB2312" w:cs="仿宋_GB2312"/>
          <w:b w:val="0"/>
          <w:bCs w:val="0"/>
          <w:color w:val="auto"/>
          <w:vertAlign w:val="baseline"/>
          <w:lang w:val="en-US" w:eastAsia="zh-CN"/>
        </w:rPr>
        <w:t>15070875986</w:t>
      </w:r>
      <w:r>
        <w:rPr>
          <w:rFonts w:hint="eastAsia"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before="0" w:after="0" w:line="596" w:lineRule="exact"/>
        <w:ind w:firstLine="562" w:firstLineChars="200"/>
        <w:textAlignment w:val="auto"/>
        <w:rPr>
          <w:rFonts w:hint="eastAsia" w:ascii="仿宋_GB2312" w:hAnsi="仿宋_GB2312" w:eastAsia="仿宋_GB2312" w:cs="仿宋_GB2312"/>
          <w:b/>
          <w:kern w:val="2"/>
          <w:sz w:val="28"/>
          <w:szCs w:val="24"/>
          <w:lang w:val="en-US" w:eastAsia="zh-CN" w:bidi="ar-SA"/>
        </w:rPr>
      </w:pPr>
      <w:r>
        <w:rPr>
          <w:rFonts w:hint="eastAsia" w:ascii="仿宋_GB2312" w:hAnsi="仿宋_GB2312" w:eastAsia="仿宋_GB2312" w:cs="仿宋_GB2312"/>
          <w:b/>
          <w:kern w:val="2"/>
          <w:sz w:val="28"/>
          <w:szCs w:val="24"/>
          <w:lang w:val="en-US" w:eastAsia="zh-CN" w:bidi="ar-SA"/>
        </w:rPr>
        <w:t>十、补充事项</w:t>
      </w:r>
    </w:p>
    <w:p>
      <w:pPr>
        <w:pStyle w:val="3"/>
        <w:keepNext/>
        <w:keepLines/>
        <w:pageBreakBefore w:val="0"/>
        <w:widowControl w:val="0"/>
        <w:numPr>
          <w:ilvl w:val="0"/>
          <w:numId w:val="0"/>
        </w:numPr>
        <w:kinsoku w:val="0"/>
        <w:wordWrap w:val="0"/>
        <w:overflowPunct w:val="0"/>
        <w:topLinePunct w:val="0"/>
        <w:autoSpaceDE w:val="0"/>
        <w:autoSpaceDN w:val="0"/>
        <w:bidi w:val="0"/>
        <w:adjustRightInd/>
        <w:snapToGrid/>
        <w:spacing w:line="596" w:lineRule="exact"/>
        <w:ind w:left="142" w:leftChars="0" w:firstLine="420" w:firstLineChars="0"/>
        <w:textAlignment w:val="auto"/>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进贤创控供应链金融有限公司</w:t>
      </w:r>
      <w:r>
        <w:rPr>
          <w:rFonts w:hint="eastAsia" w:ascii="仿宋_GB2312" w:hAnsi="仿宋_GB2312" w:cs="仿宋_GB2312"/>
          <w:b w:val="0"/>
          <w:bCs w:val="0"/>
          <w:color w:val="000000" w:themeColor="text1"/>
          <w:kern w:val="2"/>
          <w:sz w:val="28"/>
          <w:szCs w:val="24"/>
          <w:lang w:val="en-US" w:eastAsia="zh-CN" w:bidi="ar-SA"/>
          <w14:textFill>
            <w14:solidFill>
              <w14:schemeClr w14:val="tx1"/>
            </w14:solidFill>
          </w14:textFill>
        </w:rPr>
        <w:t>对</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沥青混凝土</w:t>
      </w:r>
      <w:r>
        <w:rPr>
          <w:rFonts w:hint="eastAsia" w:ascii="仿宋_GB2312" w:hAnsi="仿宋_GB2312" w:cs="仿宋_GB2312"/>
          <w:b w:val="0"/>
          <w:bCs w:val="0"/>
          <w:color w:val="000000" w:themeColor="text1"/>
          <w:kern w:val="2"/>
          <w:sz w:val="28"/>
          <w:szCs w:val="24"/>
          <w:lang w:val="en-US" w:eastAsia="zh-CN" w:bidi="ar-SA"/>
          <w14:textFill>
            <w14:solidFill>
              <w14:schemeClr w14:val="tx1"/>
            </w14:solidFill>
          </w14:textFill>
        </w:rPr>
        <w:t>设置有预算</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控制价，</w:t>
      </w:r>
      <w:r>
        <w:rPr>
          <w:rFonts w:hint="eastAsia" w:ascii="仿宋_GB2312" w:hAnsi="仿宋_GB2312" w:cs="仿宋_GB2312"/>
          <w:b w:val="0"/>
          <w:bCs w:val="0"/>
          <w:color w:val="000000" w:themeColor="text1"/>
          <w:kern w:val="2"/>
          <w:sz w:val="28"/>
          <w:szCs w:val="24"/>
          <w:lang w:val="en-US" w:eastAsia="zh-CN" w:bidi="ar-SA"/>
          <w14:textFill>
            <w14:solidFill>
              <w14:schemeClr w14:val="tx1"/>
            </w14:solidFill>
          </w14:textFill>
        </w:rPr>
        <w:t>各供应商</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报价以10月南昌地区信息价（江西省造价信息http://zjt.jiangxi.gov.cn/col/col69008/index.html）作为参考填报浮动系数，上浮+、下浮为-，浮动系数精确到小数点后两位。</w:t>
      </w:r>
    </w:p>
    <w:p>
      <w:pPr>
        <w:pageBreakBefore w:val="0"/>
        <w:widowControl w:val="0"/>
        <w:kinsoku w:val="0"/>
        <w:wordWrap/>
        <w:overflowPunct w:val="0"/>
        <w:topLinePunct w:val="0"/>
        <w:autoSpaceDE w:val="0"/>
        <w:autoSpaceDN w:val="0"/>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12"/>
        <w:rPr>
          <w:rFonts w:hint="eastAsia" w:ascii="仿宋_GB2312" w:hAnsi="仿宋_GB2312" w:eastAsia="仿宋_GB2312" w:cs="仿宋_GB2312"/>
          <w:b w:val="0"/>
          <w:bCs w:val="0"/>
          <w:color w:val="auto"/>
          <w:lang w:val="en-US" w:eastAsia="zh-CN"/>
        </w:rPr>
      </w:pPr>
    </w:p>
    <w:p>
      <w:pPr>
        <w:pStyle w:val="2"/>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进贤创控供应链金融有限责任公司</w:t>
      </w:r>
    </w:p>
    <w:p>
      <w:pPr>
        <w:pStyle w:val="2"/>
        <w:pageBreakBefore w:val="0"/>
        <w:widowControl w:val="0"/>
        <w:kinsoku/>
        <w:wordWrap/>
        <w:overflowPunct/>
        <w:topLinePunct w:val="0"/>
        <w:autoSpaceDE/>
        <w:autoSpaceDN/>
        <w:bidi w:val="0"/>
        <w:adjustRightInd/>
        <w:snapToGrid/>
        <w:spacing w:before="0" w:after="0" w:line="440" w:lineRule="exact"/>
        <w:ind w:left="0" w:leftChars="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询价采购响应文件</w:t>
      </w:r>
    </w:p>
    <w:p>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致进贤创控供应链金融有限责任公司：</w:t>
      </w:r>
    </w:p>
    <w:tbl>
      <w:tblPr>
        <w:tblStyle w:val="9"/>
        <w:tblpPr w:leftFromText="180" w:rightFromText="180" w:vertAnchor="text" w:tblpXSpec="center" w:tblpY="1"/>
        <w:tblOverlap w:val="never"/>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8"/>
        <w:gridCol w:w="1481"/>
        <w:gridCol w:w="1080"/>
        <w:gridCol w:w="690"/>
        <w:gridCol w:w="1005"/>
        <w:gridCol w:w="1140"/>
        <w:gridCol w:w="900"/>
        <w:gridCol w:w="1151"/>
        <w:gridCol w:w="8"/>
        <w:gridCol w:w="757"/>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809" w:hRule="atLeast"/>
        </w:trPr>
        <w:tc>
          <w:tcPr>
            <w:tcW w:w="9084"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b/>
                <w:bCs/>
                <w:i w:val="0"/>
                <w:iCs w:val="0"/>
                <w:color w:val="000000"/>
                <w:sz w:val="32"/>
                <w:szCs w:val="32"/>
                <w:u w:val="none"/>
                <w:lang w:val="en-US"/>
              </w:rPr>
            </w:pPr>
            <w:r>
              <w:rPr>
                <w:rFonts w:hint="eastAsia" w:ascii="仿宋_GB2312" w:hAnsi="宋体" w:eastAsia="仿宋_GB2312" w:cs="仿宋_GB2312"/>
                <w:b/>
                <w:bCs/>
                <w:i w:val="0"/>
                <w:iCs w:val="0"/>
                <w:color w:val="000000"/>
                <w:kern w:val="0"/>
                <w:sz w:val="32"/>
                <w:szCs w:val="32"/>
                <w:u w:val="none"/>
                <w:lang w:val="en-US" w:eastAsia="zh-CN" w:bidi="ar"/>
              </w:rPr>
              <w:t>沥青混凝土报价单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936"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标段</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产品规格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浮动系数（+/-）%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一标段</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AC-13改性沥青混凝土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19649.45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AC-20普通沥青混凝土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10391.22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AC-13普通沥青混凝土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14004.0</w:t>
            </w:r>
            <w:r>
              <w:rPr>
                <w:rFonts w:hint="eastAsia" w:ascii="仿宋_GB2312" w:hAnsi="仿宋_GB2312" w:cs="仿宋_GB2312"/>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cs="仿宋_GB2312"/>
                <w:i w:val="0"/>
                <w:iCs w:val="0"/>
                <w:color w:val="000000"/>
                <w:kern w:val="0"/>
                <w:sz w:val="21"/>
                <w:szCs w:val="21"/>
                <w:u w:val="none"/>
                <w:lang w:val="en-US" w:eastAsia="zh-CN" w:bidi="ar"/>
              </w:rPr>
              <w:t>二</w:t>
            </w:r>
            <w:r>
              <w:rPr>
                <w:rFonts w:hint="eastAsia" w:ascii="仿宋_GB2312" w:hAnsi="仿宋_GB2312" w:eastAsia="仿宋_GB2312" w:cs="仿宋_GB2312"/>
                <w:i w:val="0"/>
                <w:iCs w:val="0"/>
                <w:color w:val="000000"/>
                <w:kern w:val="0"/>
                <w:sz w:val="21"/>
                <w:szCs w:val="21"/>
                <w:u w:val="none"/>
                <w:lang w:val="en-US" w:eastAsia="zh-CN" w:bidi="ar"/>
              </w:rPr>
              <w:t>标段</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AC-13改性沥青混凝土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10541.28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AC-20普通沥青混凝土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8119.65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AC-13普通沥青混凝土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4238.64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627"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66944.26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 w:type="dxa"/>
          <w:trHeight w:val="2532" w:hRule="atLeast"/>
        </w:trPr>
        <w:tc>
          <w:tcPr>
            <w:tcW w:w="908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备注：</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1.AC-13改性沥青混凝土方量换算成吨数系数为*2.4，AC-20普通沥青混凝土方量换算成吨数系数为*2.38，AC-13普通沥青混凝土方量换算成吨数系数为*2.38。</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沥青划分标段：一标段（民和镇、架桥镇、泉岭乡、温圳镇、张公镇、文港镇、白圩乡、长山晏乡、李渡镇</w:t>
            </w:r>
            <w:r>
              <w:rPr>
                <w:rFonts w:hint="eastAsia" w:ascii="仿宋_GB2312" w:hAnsi="宋体"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罗溪镇）;二标段（前坊镇、七里乡、下埠集乡、衙前乡、三里乡、三阳集乡、梅庄镇、二塘乡、南台乡、钟陵乡、池溪乡）。</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2.注：投标报价以</w:t>
            </w:r>
            <w:r>
              <w:rPr>
                <w:rFonts w:hint="eastAsia" w:ascii="仿宋_GB2312" w:hAnsi="宋体" w:cs="仿宋_GB2312"/>
                <w:i w:val="0"/>
                <w:iCs w:val="0"/>
                <w:color w:val="000000"/>
                <w:kern w:val="0"/>
                <w:sz w:val="24"/>
                <w:szCs w:val="24"/>
                <w:u w:val="none"/>
                <w:lang w:val="en-US" w:eastAsia="zh-CN" w:bidi="ar"/>
              </w:rPr>
              <w:t>10</w:t>
            </w:r>
            <w:r>
              <w:rPr>
                <w:rFonts w:hint="default" w:ascii="仿宋_GB2312" w:hAnsi="宋体" w:eastAsia="仿宋_GB2312" w:cs="仿宋_GB2312"/>
                <w:i w:val="0"/>
                <w:iCs w:val="0"/>
                <w:color w:val="000000"/>
                <w:kern w:val="0"/>
                <w:sz w:val="24"/>
                <w:szCs w:val="24"/>
                <w:u w:val="none"/>
                <w:lang w:val="en-US" w:eastAsia="zh-CN" w:bidi="ar"/>
              </w:rPr>
              <w:t>月南昌地区信息价作为参考填报浮动系数，浮动系数精确到小数点后两位。</w:t>
            </w:r>
            <w:bookmarkStart w:id="0" w:name="_GoBack"/>
            <w:bookmarkEnd w:id="0"/>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3.以上价格包含为运输、装卸、开票等费用，税率为13%。</w:t>
            </w:r>
          </w:p>
        </w:tc>
      </w:tr>
    </w:tbl>
    <w:p>
      <w:pPr>
        <w:pageBreakBefore w:val="0"/>
        <w:widowControl w:val="0"/>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adjustRightInd/>
        <w:snapToGrid/>
        <w:spacing w:line="440" w:lineRule="exact"/>
        <w:ind w:firstLine="560"/>
        <w:textAlignment w:val="auto"/>
        <w:rPr>
          <w:rFonts w:hint="eastAsia" w:ascii="仿宋_GB2312" w:hAnsi="仿宋_GB2312" w:eastAsia="仿宋_GB2312" w:cs="仿宋_GB2312"/>
        </w:rPr>
      </w:pPr>
      <w:r>
        <w:rPr>
          <w:rFonts w:hint="eastAsia" w:ascii="仿宋_GB2312" w:hAnsi="仿宋_GB2312" w:eastAsia="仿宋_GB2312" w:cs="仿宋_GB2312"/>
        </w:rPr>
        <w:t> 询价书收悉，我单位认真阅知、理解并全面接受询价书的各项要求，报价如下：</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rPr>
      </w:pPr>
      <w:r>
        <w:rPr>
          <w:rFonts w:hint="eastAsia" w:ascii="仿宋_GB2312" w:hAnsi="仿宋_GB2312" w:eastAsia="仿宋_GB2312" w:cs="仿宋_GB2312"/>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rPr>
      </w:pPr>
      <w:r>
        <w:rPr>
          <w:rFonts w:hint="eastAsia" w:ascii="仿宋_GB2312" w:hAnsi="仿宋_GB2312" w:eastAsia="仿宋_GB2312" w:cs="仿宋_GB2312"/>
        </w:rPr>
        <w:t>我单位理解：贵单位不一定接受我单位报价，也无须向我单位解释不接受的原因。</w:t>
      </w:r>
    </w:p>
    <w:p>
      <w:pPr>
        <w:ind w:firstLine="560"/>
        <w:jc w:val="right"/>
        <w:rPr>
          <w:rFonts w:hint="eastAsia" w:ascii="仿宋_GB2312" w:hAnsi="仿宋_GB2312" w:eastAsia="仿宋_GB2312" w:cs="仿宋_GB2312"/>
        </w:rPr>
      </w:pPr>
      <w:r>
        <w:rPr>
          <w:rFonts w:hint="eastAsia" w:ascii="仿宋_GB2312" w:hAnsi="仿宋_GB2312" w:eastAsia="仿宋_GB2312" w:cs="仿宋_GB2312"/>
        </w:rPr>
        <w:t>（单位名称及签章）</w:t>
      </w:r>
    </w:p>
    <w:p>
      <w:pPr>
        <w:ind w:firstLine="560"/>
        <w:jc w:val="right"/>
        <w:rPr>
          <w:rFonts w:hint="eastAsia" w:ascii="仿宋_GB2312" w:hAnsi="仿宋_GB2312" w:eastAsia="仿宋_GB2312" w:cs="仿宋_GB2312"/>
        </w:rPr>
      </w:pPr>
      <w:r>
        <w:rPr>
          <w:rFonts w:hint="eastAsia" w:ascii="仿宋_GB2312" w:hAnsi="仿宋_GB2312" w:eastAsia="仿宋_GB2312" w:cs="仿宋_GB2312"/>
        </w:rPr>
        <w:t xml:space="preserve">年   月   日   </w:t>
      </w:r>
    </w:p>
    <w:sectPr>
      <w:headerReference r:id="rId7" w:type="first"/>
      <w:footerReference r:id="rId10" w:type="first"/>
      <w:headerReference r:id="rId5" w:type="default"/>
      <w:footerReference r:id="rId8" w:type="default"/>
      <w:headerReference r:id="rId6" w:type="even"/>
      <w:footerReference r:id="rId9" w:type="even"/>
      <w:pgSz w:w="11906" w:h="16838"/>
      <w:pgMar w:top="1519" w:right="1519" w:bottom="1519" w:left="1519"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8FAA0"/>
    <w:multiLevelType w:val="singleLevel"/>
    <w:tmpl w:val="8F68FAA0"/>
    <w:lvl w:ilvl="0" w:tentative="0">
      <w:start w:val="1"/>
      <w:numFmt w:val="chineseCounting"/>
      <w:pStyle w:val="3"/>
      <w:suff w:val="nothing"/>
      <w:lvlText w:val="%1、"/>
      <w:lvlJc w:val="left"/>
      <w:pPr>
        <w:ind w:left="28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zhiZjVhYmY0YTVhZWEyYjg2ODY1YzRmNzI1MzYifQ=="/>
  </w:docVars>
  <w:rsids>
    <w:rsidRoot w:val="74C979AD"/>
    <w:rsid w:val="000E6DD4"/>
    <w:rsid w:val="000E7193"/>
    <w:rsid w:val="003E0EE6"/>
    <w:rsid w:val="00492F06"/>
    <w:rsid w:val="006D57B0"/>
    <w:rsid w:val="00722A69"/>
    <w:rsid w:val="007D6690"/>
    <w:rsid w:val="0082309A"/>
    <w:rsid w:val="008D3417"/>
    <w:rsid w:val="00A27735"/>
    <w:rsid w:val="00AA5D35"/>
    <w:rsid w:val="00B706D8"/>
    <w:rsid w:val="00B81B12"/>
    <w:rsid w:val="00C23DEC"/>
    <w:rsid w:val="00CC7FE8"/>
    <w:rsid w:val="00E1744F"/>
    <w:rsid w:val="010B7AAA"/>
    <w:rsid w:val="02385327"/>
    <w:rsid w:val="02A32AAD"/>
    <w:rsid w:val="03D605F2"/>
    <w:rsid w:val="03E72B61"/>
    <w:rsid w:val="04E30DB5"/>
    <w:rsid w:val="04F942CA"/>
    <w:rsid w:val="057E5747"/>
    <w:rsid w:val="05920D3D"/>
    <w:rsid w:val="06474DF2"/>
    <w:rsid w:val="09A82D92"/>
    <w:rsid w:val="0BCC25E2"/>
    <w:rsid w:val="0C670CE3"/>
    <w:rsid w:val="104D4694"/>
    <w:rsid w:val="105F6AA3"/>
    <w:rsid w:val="13623FB2"/>
    <w:rsid w:val="13A80821"/>
    <w:rsid w:val="15D44FB7"/>
    <w:rsid w:val="16005D04"/>
    <w:rsid w:val="1F182123"/>
    <w:rsid w:val="1F903C55"/>
    <w:rsid w:val="20000DDB"/>
    <w:rsid w:val="22B76F41"/>
    <w:rsid w:val="27554102"/>
    <w:rsid w:val="27A37B4C"/>
    <w:rsid w:val="28B74948"/>
    <w:rsid w:val="28C52BC1"/>
    <w:rsid w:val="2A73664D"/>
    <w:rsid w:val="2E953036"/>
    <w:rsid w:val="30316D8E"/>
    <w:rsid w:val="32D84A04"/>
    <w:rsid w:val="342B6231"/>
    <w:rsid w:val="377203B8"/>
    <w:rsid w:val="3A685AA2"/>
    <w:rsid w:val="3B00217F"/>
    <w:rsid w:val="3B9C3C56"/>
    <w:rsid w:val="3CD45671"/>
    <w:rsid w:val="3D513183"/>
    <w:rsid w:val="3D785FFC"/>
    <w:rsid w:val="40EE65D6"/>
    <w:rsid w:val="432220D7"/>
    <w:rsid w:val="438F39D9"/>
    <w:rsid w:val="46292224"/>
    <w:rsid w:val="46B24F87"/>
    <w:rsid w:val="4A723833"/>
    <w:rsid w:val="4AC968AC"/>
    <w:rsid w:val="4C4F219F"/>
    <w:rsid w:val="4CEA672C"/>
    <w:rsid w:val="4DB22585"/>
    <w:rsid w:val="4DE90850"/>
    <w:rsid w:val="50563DDE"/>
    <w:rsid w:val="51FC06C5"/>
    <w:rsid w:val="52794754"/>
    <w:rsid w:val="59897866"/>
    <w:rsid w:val="5B2555BE"/>
    <w:rsid w:val="61AF7D80"/>
    <w:rsid w:val="62DD5694"/>
    <w:rsid w:val="651B74C7"/>
    <w:rsid w:val="67B6110E"/>
    <w:rsid w:val="67E20393"/>
    <w:rsid w:val="6821710D"/>
    <w:rsid w:val="6A2151A2"/>
    <w:rsid w:val="6F335284"/>
    <w:rsid w:val="6FFAB83A"/>
    <w:rsid w:val="74674A6D"/>
    <w:rsid w:val="748527D2"/>
    <w:rsid w:val="74C979AD"/>
    <w:rsid w:val="75063912"/>
    <w:rsid w:val="775748F9"/>
    <w:rsid w:val="77672662"/>
    <w:rsid w:val="79367697"/>
    <w:rsid w:val="7BC37D57"/>
    <w:rsid w:val="7BDBB066"/>
    <w:rsid w:val="7DFDB45B"/>
    <w:rsid w:val="7E8D150B"/>
    <w:rsid w:val="7F3D5B32"/>
    <w:rsid w:val="7FF91CC1"/>
    <w:rsid w:val="7FFF0FBE"/>
    <w:rsid w:val="A7DE443A"/>
    <w:rsid w:val="BCCD9663"/>
    <w:rsid w:val="BDB6D3FC"/>
    <w:rsid w:val="CFEF813D"/>
    <w:rsid w:val="D655658A"/>
    <w:rsid w:val="DF6E9981"/>
    <w:rsid w:val="EFDF4BD7"/>
    <w:rsid w:val="F9FF8EE7"/>
    <w:rsid w:val="FBBFE124"/>
    <w:rsid w:val="FEAF3375"/>
    <w:rsid w:val="FFE69D89"/>
    <w:rsid w:val="FFFD48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spacing w:before="200" w:after="200"/>
      <w:jc w:val="center"/>
      <w:outlineLvl w:val="0"/>
    </w:pPr>
    <w:rPr>
      <w:rFonts w:eastAsia="微软雅黑"/>
      <w:kern w:val="44"/>
      <w:sz w:val="32"/>
    </w:rPr>
  </w:style>
  <w:style w:type="paragraph" w:styleId="3">
    <w:name w:val="heading 2"/>
    <w:basedOn w:val="1"/>
    <w:next w:val="1"/>
    <w:unhideWhenUsed/>
    <w:qFormat/>
    <w:uiPriority w:val="0"/>
    <w:pPr>
      <w:keepNext/>
      <w:keepLines/>
      <w:numPr>
        <w:ilvl w:val="0"/>
        <w:numId w:val="1"/>
      </w:numPr>
      <w:spacing w:before="100" w:after="100"/>
      <w:jc w:val="left"/>
      <w:outlineLvl w:val="1"/>
    </w:pPr>
    <w:rPr>
      <w:rFonts w:ascii="Arial" w:hAnsi="Arial"/>
      <w:b/>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3">
    <w:name w:val="font41"/>
    <w:basedOn w:val="11"/>
    <w:qFormat/>
    <w:uiPriority w:val="0"/>
    <w:rPr>
      <w:rFonts w:hint="eastAsia" w:ascii="宋体" w:hAnsi="宋体" w:eastAsia="宋体" w:cs="宋体"/>
      <w:color w:val="000000"/>
      <w:sz w:val="18"/>
      <w:szCs w:val="18"/>
      <w:u w:val="none"/>
    </w:rPr>
  </w:style>
  <w:style w:type="character" w:customStyle="1" w:styleId="14">
    <w:name w:val="font61"/>
    <w:basedOn w:val="11"/>
    <w:qFormat/>
    <w:uiPriority w:val="0"/>
    <w:rPr>
      <w:rFonts w:hint="eastAsia" w:ascii="宋体" w:hAnsi="宋体" w:eastAsia="宋体" w:cs="宋体"/>
      <w:b/>
      <w:bCs/>
      <w:color w:val="000000"/>
      <w:sz w:val="18"/>
      <w:szCs w:val="18"/>
      <w:u w:val="none"/>
    </w:rPr>
  </w:style>
  <w:style w:type="table" w:customStyle="1" w:styleId="15">
    <w:name w:val="Table Normal"/>
    <w:basedOn w:val="9"/>
    <w:semiHidden/>
    <w:qFormat/>
    <w:uiPriority w:val="0"/>
    <w:tblPr>
      <w:tblCellMar>
        <w:right w:w="0" w:type="dxa"/>
      </w:tblCellMar>
    </w:tblPr>
  </w:style>
  <w:style w:type="character" w:customStyle="1" w:styleId="16">
    <w:name w:val="font11"/>
    <w:basedOn w:val="11"/>
    <w:qFormat/>
    <w:uiPriority w:val="0"/>
    <w:rPr>
      <w:rFonts w:hint="default" w:ascii="Calibri" w:hAnsi="Calibri" w:cs="Calibri"/>
      <w:color w:val="000000"/>
      <w:sz w:val="20"/>
      <w:szCs w:val="20"/>
      <w:u w:val="none"/>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页眉 字符"/>
    <w:basedOn w:val="11"/>
    <w:link w:val="6"/>
    <w:qFormat/>
    <w:uiPriority w:val="0"/>
    <w:rPr>
      <w:rFonts w:eastAsia="仿宋_GB2312" w:asciiTheme="minorHAnsi" w:hAnsiTheme="minorHAnsi" w:cstheme="minorBidi"/>
      <w:kern w:val="2"/>
      <w:sz w:val="18"/>
      <w:szCs w:val="18"/>
    </w:rPr>
  </w:style>
  <w:style w:type="character" w:customStyle="1" w:styleId="19">
    <w:name w:val="页脚 字符"/>
    <w:basedOn w:val="11"/>
    <w:link w:val="5"/>
    <w:qFormat/>
    <w:uiPriority w:val="0"/>
    <w:rPr>
      <w:rFonts w:eastAsia="仿宋_GB2312" w:asciiTheme="minorHAnsi" w:hAnsiTheme="minorHAnsi" w:cstheme="minorBidi"/>
      <w:kern w:val="2"/>
      <w:sz w:val="18"/>
      <w:szCs w:val="18"/>
    </w:rPr>
  </w:style>
  <w:style w:type="paragraph" w:customStyle="1" w:styleId="20">
    <w:name w:val="标4"/>
    <w:basedOn w:val="21"/>
    <w:next w:val="1"/>
    <w:qFormat/>
    <w:uiPriority w:val="0"/>
    <w:pPr>
      <w:tabs>
        <w:tab w:val="left" w:pos="992"/>
      </w:tabs>
      <w:spacing w:before="240" w:after="360"/>
      <w:outlineLvl w:val="3"/>
    </w:pPr>
    <w:rPr>
      <w:rFonts w:cs="Arial"/>
    </w:rPr>
  </w:style>
  <w:style w:type="paragraph" w:customStyle="1" w:styleId="21">
    <w:name w:val="标3"/>
    <w:basedOn w:val="22"/>
    <w:next w:val="1"/>
    <w:qFormat/>
    <w:uiPriority w:val="0"/>
    <w:pPr>
      <w:tabs>
        <w:tab w:val="left" w:pos="992"/>
      </w:tabs>
      <w:adjustRightInd w:val="0"/>
      <w:spacing w:line="240" w:lineRule="exact"/>
      <w:jc w:val="left"/>
      <w:outlineLvl w:val="2"/>
    </w:pPr>
    <w:rPr>
      <w:rFonts w:ascii="Arial" w:hAnsi="Arial"/>
      <w:b/>
      <w:kern w:val="24"/>
      <w:sz w:val="24"/>
    </w:rPr>
  </w:style>
  <w:style w:type="paragraph" w:customStyle="1" w:styleId="22">
    <w:name w:val="标2"/>
    <w:basedOn w:val="23"/>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23">
    <w:name w:val="标1"/>
    <w:basedOn w:val="8"/>
    <w:qFormat/>
    <w:uiPriority w:val="99"/>
    <w:pPr>
      <w:adjustRightInd w:val="0"/>
      <w:spacing w:before="156" w:beforeLines="50" w:after="156" w:afterLines="50"/>
    </w:pPr>
    <w:rPr>
      <w:kern w:val="24"/>
      <w:sz w:val="30"/>
      <w:szCs w:val="24"/>
    </w:rPr>
  </w:style>
  <w:style w:type="character" w:customStyle="1" w:styleId="24">
    <w:name w:val="font21"/>
    <w:basedOn w:val="11"/>
    <w:qFormat/>
    <w:uiPriority w:val="0"/>
    <w:rPr>
      <w:rFonts w:hint="eastAsia" w:ascii="仿宋" w:hAnsi="仿宋" w:eastAsia="仿宋" w:cs="仿宋"/>
      <w:color w:val="000000"/>
      <w:sz w:val="24"/>
      <w:szCs w:val="24"/>
      <w:u w:val="none"/>
    </w:rPr>
  </w:style>
  <w:style w:type="character" w:customStyle="1" w:styleId="25">
    <w:name w:val="font51"/>
    <w:basedOn w:val="11"/>
    <w:qFormat/>
    <w:uiPriority w:val="0"/>
    <w:rPr>
      <w:rFonts w:hint="eastAsia" w:ascii="Arial Unicode MS" w:hAnsi="Arial Unicode MS" w:eastAsia="Arial Unicode MS" w:cs="Arial Unicode M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2332</Words>
  <Characters>2938</Characters>
  <Lines>22</Lines>
  <Paragraphs>6</Paragraphs>
  <TotalTime>17</TotalTime>
  <ScaleCrop>false</ScaleCrop>
  <LinksUpToDate>false</LinksUpToDate>
  <CharactersWithSpaces>3099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2022-09-13T09:49:00Z</dcterms:created>
  <dc:creator>Hannie</dc:creator>
  <cp:lastModifiedBy>ROAD</cp:lastModifiedBy>
  <cp:lastPrinted>2022-09-26T06:30:00Z</cp:lastPrinted>
  <dcterms:modified xsi:type="dcterms:W3CDTF">2023-11-20T09:32:40Z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79A0E4FF3090476F94AEFC3B89B32444_13</vt:lpwstr>
  </property>
</Properties>
</file>