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jc w:val="center"/>
        <w:rPr>
          <w:rFonts w:hint="eastAsia" w:ascii="仿宋" w:hAnsi="仿宋" w:eastAsia="仿宋" w:cs="仿宋"/>
          <w:b w:val="0"/>
          <w:bCs/>
          <w:color w:val="auto"/>
          <w:sz w:val="36"/>
          <w:szCs w:val="36"/>
        </w:rPr>
      </w:pPr>
      <w:r>
        <w:rPr>
          <w:rFonts w:hint="eastAsia" w:ascii="仿宋" w:hAnsi="仿宋" w:eastAsia="仿宋" w:cs="仿宋"/>
          <w:b w:val="0"/>
          <w:bCs/>
          <w:color w:val="auto"/>
          <w:sz w:val="36"/>
          <w:szCs w:val="36"/>
          <w:lang w:eastAsia="zh-CN"/>
        </w:rPr>
        <w:t>进贤创控供应链金融有限责任公司</w:t>
      </w:r>
      <w:r>
        <w:rPr>
          <w:rFonts w:hint="eastAsia" w:ascii="仿宋" w:hAnsi="仿宋" w:eastAsia="仿宋" w:cs="仿宋"/>
          <w:b w:val="0"/>
          <w:bCs/>
          <w:color w:val="auto"/>
          <w:sz w:val="36"/>
          <w:szCs w:val="36"/>
          <w:lang w:val="en-US" w:eastAsia="zh-CN"/>
        </w:rPr>
        <w:t>季度性</w:t>
      </w:r>
      <w:r>
        <w:rPr>
          <w:rFonts w:hint="eastAsia" w:ascii="仿宋" w:hAnsi="仿宋" w:eastAsia="仿宋" w:cs="仿宋"/>
          <w:b w:val="0"/>
          <w:bCs/>
          <w:color w:val="auto"/>
          <w:sz w:val="36"/>
          <w:szCs w:val="36"/>
        </w:rPr>
        <w:t>采购询价书</w:t>
      </w:r>
    </w:p>
    <w:p>
      <w:pPr>
        <w:pageBreakBefore w:val="0"/>
        <w:kinsoku/>
        <w:wordWrap/>
        <w:overflowPunct/>
        <w:topLinePunct w:val="0"/>
        <w:bidi w:val="0"/>
        <w:snapToGrid/>
        <w:spacing w:line="520" w:lineRule="exact"/>
        <w:ind w:left="0" w:leftChars="0" w:firstLine="0" w:firstLineChars="0"/>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各报价单位：</w:t>
      </w:r>
    </w:p>
    <w:p>
      <w:pPr>
        <w:pageBreakBefore w:val="0"/>
        <w:kinsoku/>
        <w:wordWrap/>
        <w:overflowPunct/>
        <w:topLinePunct w:val="0"/>
        <w:bidi w:val="0"/>
        <w:snapToGrid/>
        <w:spacing w:line="520" w:lineRule="exact"/>
        <w:ind w:left="0" w:leftChars="0" w:firstLine="560" w:firstLineChars="200"/>
        <w:rPr>
          <w:rFonts w:hint="eastAsia" w:ascii="仿宋" w:hAnsi="仿宋" w:eastAsia="仿宋" w:cs="仿宋"/>
          <w:b w:val="0"/>
          <w:bCs w:val="0"/>
          <w:color w:val="auto"/>
          <w:lang w:val="en-US" w:eastAsia="zh-CN"/>
        </w:rPr>
      </w:pPr>
      <w:r>
        <w:rPr>
          <w:rFonts w:hint="eastAsia" w:ascii="仿宋" w:hAnsi="仿宋" w:eastAsia="仿宋" w:cs="仿宋"/>
          <w:b w:val="0"/>
          <w:bCs w:val="0"/>
          <w:color w:val="0000FF"/>
          <w:lang w:val="en-US" w:eastAsia="zh-CN"/>
        </w:rPr>
        <w:t>本公司拟针对进贤创新发展控股集团有限公司（以下简称创控集团）及创控集团所属公司的项目主材（商品混凝土）进行第一季度询价采购</w:t>
      </w:r>
      <w:r>
        <w:rPr>
          <w:rFonts w:hint="eastAsia" w:ascii="仿宋" w:hAnsi="仿宋" w:eastAsia="仿宋" w:cs="仿宋"/>
          <w:b w:val="0"/>
          <w:bCs w:val="0"/>
          <w:color w:val="auto"/>
          <w:lang w:val="en-US" w:eastAsia="zh-CN"/>
        </w:rPr>
        <w:t>，诚邀符合资格条件的供应商参加本项目询价采购活动。请贵单位于2024年1月16日至2024年1月19日下午15：00之前按本询价的要求和响应文件格式予以送往进贤创控供应链金融有限责任公司，此次报价均采用纸质文件到现场的形式，报价文件由进贤创控供应链金融有限责任公司统一收取。2024年1月19日下午15：00之后送达至进贤创控供应链金融有限责任公司的报价文件均为无效。</w:t>
      </w:r>
    </w:p>
    <w:p>
      <w:pPr>
        <w:pStyle w:val="4"/>
        <w:pageBreakBefore w:val="0"/>
        <w:numPr>
          <w:ilvl w:val="0"/>
          <w:numId w:val="0"/>
        </w:numPr>
        <w:kinsoku/>
        <w:wordWrap/>
        <w:overflowPunct/>
        <w:topLinePunct w:val="0"/>
        <w:bidi w:val="0"/>
        <w:snapToGrid/>
        <w:spacing w:line="520" w:lineRule="exact"/>
        <w:ind w:left="0" w:leftChars="0" w:firstLine="562" w:firstLineChars="200"/>
        <w:rPr>
          <w:rFonts w:hint="eastAsia" w:ascii="仿宋" w:hAnsi="仿宋" w:eastAsia="仿宋" w:cs="仿宋"/>
          <w:b/>
          <w:bCs w:val="0"/>
          <w:color w:val="auto"/>
          <w:lang w:val="en-US" w:eastAsia="zh-CN"/>
        </w:rPr>
      </w:pPr>
      <w:r>
        <w:rPr>
          <w:rFonts w:hint="eastAsia" w:ascii="仿宋" w:hAnsi="仿宋" w:eastAsia="仿宋" w:cs="仿宋"/>
          <w:b/>
          <w:bCs w:val="0"/>
          <w:color w:val="auto"/>
          <w:kern w:val="2"/>
          <w:sz w:val="28"/>
          <w:szCs w:val="24"/>
          <w:lang w:val="en-US" w:eastAsia="zh-CN" w:bidi="ar-SA"/>
        </w:rPr>
        <w:t>一、</w:t>
      </w:r>
      <w:r>
        <w:rPr>
          <w:rFonts w:hint="eastAsia" w:ascii="仿宋" w:hAnsi="仿宋" w:eastAsia="仿宋" w:cs="仿宋"/>
          <w:b/>
          <w:bCs w:val="0"/>
          <w:color w:val="auto"/>
          <w:lang w:val="en-US" w:eastAsia="zh-CN"/>
        </w:rPr>
        <w:t>采购单位信息</w:t>
      </w:r>
    </w:p>
    <w:tbl>
      <w:tblPr>
        <w:tblStyle w:val="12"/>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单位名称：</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地址：</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联系人及电话：</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胡  凯15070875986</w:t>
            </w:r>
          </w:p>
        </w:tc>
      </w:tr>
    </w:tbl>
    <w:p>
      <w:pPr>
        <w:pStyle w:val="4"/>
        <w:pageBreakBefore w:val="0"/>
        <w:numPr>
          <w:ilvl w:val="0"/>
          <w:numId w:val="0"/>
        </w:numPr>
        <w:kinsoku/>
        <w:wordWrap/>
        <w:overflowPunct/>
        <w:topLinePunct w:val="0"/>
        <w:bidi w:val="0"/>
        <w:snapToGrid/>
        <w:spacing w:line="520" w:lineRule="exact"/>
        <w:ind w:left="0" w:leftChars="0" w:firstLine="562" w:firstLineChars="200"/>
        <w:rPr>
          <w:rFonts w:hint="eastAsia" w:ascii="仿宋" w:hAnsi="仿宋" w:eastAsia="仿宋" w:cs="仿宋"/>
          <w:b w:val="0"/>
          <w:bCs/>
          <w:color w:val="auto"/>
          <w:lang w:val="en-US" w:eastAsia="zh-CN"/>
        </w:rPr>
      </w:pPr>
      <w:r>
        <w:rPr>
          <w:rFonts w:hint="eastAsia" w:ascii="仿宋" w:hAnsi="仿宋" w:eastAsia="仿宋" w:cs="仿宋"/>
          <w:b/>
          <w:bCs w:val="0"/>
          <w:color w:val="auto"/>
          <w:kern w:val="2"/>
          <w:sz w:val="28"/>
          <w:szCs w:val="24"/>
          <w:lang w:val="en-US" w:eastAsia="zh-CN" w:bidi="ar-SA"/>
        </w:rPr>
        <w:t>二、</w:t>
      </w:r>
      <w:r>
        <w:rPr>
          <w:rFonts w:hint="eastAsia" w:ascii="仿宋" w:hAnsi="仿宋" w:eastAsia="仿宋" w:cs="仿宋"/>
          <w:b/>
          <w:bCs w:val="0"/>
          <w:color w:val="auto"/>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0000FF"/>
          <w:lang w:val="en-US" w:eastAsia="zh-CN"/>
        </w:rPr>
      </w:pPr>
      <w:r>
        <w:rPr>
          <w:rFonts w:hint="eastAsia" w:ascii="仿宋" w:hAnsi="仿宋" w:eastAsia="仿宋" w:cs="仿宋"/>
          <w:b w:val="0"/>
          <w:bCs w:val="0"/>
          <w:color w:val="auto"/>
          <w:lang w:val="en-US" w:eastAsia="zh-CN"/>
        </w:rPr>
        <w:t>工程内容：</w:t>
      </w:r>
      <w:r>
        <w:rPr>
          <w:rFonts w:hint="eastAsia" w:ascii="仿宋" w:hAnsi="仿宋" w:eastAsia="仿宋" w:cs="仿宋"/>
          <w:b w:val="0"/>
          <w:bCs w:val="0"/>
          <w:color w:val="0000FF"/>
          <w:lang w:val="en-US" w:eastAsia="zh-CN"/>
        </w:rPr>
        <w:t>对进贤创新发展控股集团有限公司（以下简称创控集团）及创控集团所属公司工程的材料采购商品混凝土阶段性供应，以中标日起三个月为一个季度，本次采购主材商品混凝土设置有预算控制价。</w:t>
      </w:r>
    </w:p>
    <w:p>
      <w:pPr>
        <w:pStyle w:val="4"/>
        <w:pageBreakBefore w:val="0"/>
        <w:numPr>
          <w:ilvl w:val="0"/>
          <w:numId w:val="0"/>
        </w:numPr>
        <w:kinsoku/>
        <w:wordWrap/>
        <w:overflowPunct/>
        <w:topLinePunct w:val="0"/>
        <w:bidi w:val="0"/>
        <w:snapToGrid/>
        <w:spacing w:line="520" w:lineRule="exact"/>
        <w:ind w:left="0" w:leftChars="0" w:firstLine="562" w:firstLineChars="200"/>
        <w:rPr>
          <w:rFonts w:hint="eastAsia" w:ascii="仿宋" w:hAnsi="仿宋" w:eastAsia="仿宋" w:cs="仿宋"/>
          <w:b/>
          <w:bCs w:val="0"/>
          <w:color w:val="auto"/>
          <w:lang w:val="en-US" w:eastAsia="zh-CN"/>
        </w:rPr>
      </w:pPr>
      <w:r>
        <w:rPr>
          <w:rFonts w:hint="eastAsia" w:ascii="仿宋" w:hAnsi="仿宋" w:eastAsia="仿宋" w:cs="仿宋"/>
          <w:b/>
          <w:bCs w:val="0"/>
          <w:color w:val="auto"/>
          <w:kern w:val="2"/>
          <w:sz w:val="28"/>
          <w:szCs w:val="24"/>
          <w:lang w:val="en-US" w:eastAsia="zh-CN" w:bidi="ar-SA"/>
        </w:rPr>
        <w:t>三、</w:t>
      </w:r>
      <w:r>
        <w:rPr>
          <w:rFonts w:hint="eastAsia" w:ascii="仿宋" w:hAnsi="仿宋" w:eastAsia="仿宋" w:cs="仿宋"/>
          <w:b/>
          <w:bCs w:val="0"/>
          <w:color w:val="auto"/>
          <w:lang w:val="en-US" w:eastAsia="zh-CN"/>
        </w:rPr>
        <w:t>采购产品的名称、规格、数量：</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2849"/>
        <w:gridCol w:w="1313"/>
        <w:gridCol w:w="1440"/>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商品混凝土 C30</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rPr>
                <w:rFonts w:hint="eastAsia" w:ascii="仿宋" w:hAnsi="仿宋" w:eastAsia="仿宋" w:cs="仿宋"/>
                <w:i w:val="0"/>
                <w:iCs w:val="0"/>
                <w:color w:val="000000"/>
                <w:sz w:val="28"/>
                <w:szCs w:val="28"/>
                <w:u w:val="none"/>
              </w:rPr>
            </w:pPr>
          </w:p>
        </w:tc>
      </w:tr>
    </w:tbl>
    <w:p>
      <w:pPr>
        <w:pStyle w:val="4"/>
        <w:pageBreakBefore w:val="0"/>
        <w:numPr>
          <w:ilvl w:val="0"/>
          <w:numId w:val="0"/>
        </w:numPr>
        <w:kinsoku/>
        <w:wordWrap/>
        <w:overflowPunct/>
        <w:topLinePunct w:val="0"/>
        <w:bidi w:val="0"/>
        <w:snapToGrid/>
        <w:spacing w:line="520" w:lineRule="exact"/>
        <w:ind w:left="0" w:leftChars="0" w:firstLine="560" w:firstLineChars="200"/>
        <w:rPr>
          <w:rFonts w:hint="eastAsia" w:ascii="仿宋" w:hAnsi="仿宋" w:eastAsia="仿宋" w:cs="仿宋"/>
          <w:b/>
          <w:color w:val="auto"/>
          <w:kern w:val="2"/>
          <w:sz w:val="28"/>
          <w:szCs w:val="24"/>
          <w:lang w:val="en-US" w:eastAsia="zh-CN" w:bidi="ar-SA"/>
        </w:rPr>
      </w:pPr>
      <w:r>
        <w:rPr>
          <w:rFonts w:hint="eastAsia" w:ascii="仿宋" w:hAnsi="仿宋" w:eastAsia="仿宋" w:cs="仿宋"/>
          <w:b w:val="0"/>
          <w:bCs w:val="0"/>
          <w:color w:val="auto"/>
          <w:sz w:val="28"/>
          <w:szCs w:val="28"/>
        </w:rPr>
        <w:t>注：以实际送货量为准。</w:t>
      </w:r>
    </w:p>
    <w:p>
      <w:pPr>
        <w:pStyle w:val="4"/>
        <w:pageBreakBefore w:val="0"/>
        <w:numPr>
          <w:ilvl w:val="0"/>
          <w:numId w:val="0"/>
        </w:numPr>
        <w:kinsoku/>
        <w:wordWrap/>
        <w:overflowPunct/>
        <w:topLinePunct w:val="0"/>
        <w:bidi w:val="0"/>
        <w:snapToGrid/>
        <w:spacing w:line="520" w:lineRule="exact"/>
        <w:ind w:left="0" w:leftChars="0" w:firstLine="562" w:firstLineChars="200"/>
        <w:rPr>
          <w:rFonts w:hint="eastAsia" w:ascii="仿宋" w:hAnsi="仿宋" w:eastAsia="仿宋" w:cs="仿宋"/>
          <w:b/>
          <w:bCs w:val="0"/>
          <w:color w:val="auto"/>
          <w:lang w:val="en-US" w:eastAsia="zh-CN"/>
        </w:rPr>
      </w:pPr>
      <w:r>
        <w:rPr>
          <w:rFonts w:hint="eastAsia" w:ascii="仿宋" w:hAnsi="仿宋" w:eastAsia="仿宋" w:cs="仿宋"/>
          <w:b/>
          <w:bCs w:val="0"/>
          <w:color w:val="auto"/>
          <w:kern w:val="2"/>
          <w:sz w:val="28"/>
          <w:szCs w:val="24"/>
          <w:lang w:val="en-US" w:eastAsia="zh-CN" w:bidi="ar-SA"/>
        </w:rPr>
        <w:t>四、</w:t>
      </w:r>
      <w:r>
        <w:rPr>
          <w:rFonts w:hint="eastAsia" w:ascii="仿宋" w:hAnsi="仿宋" w:eastAsia="仿宋" w:cs="仿宋"/>
          <w:b/>
          <w:bCs w:val="0"/>
          <w:color w:val="auto"/>
          <w:lang w:val="en-US" w:eastAsia="zh-CN"/>
        </w:rPr>
        <w:t>质量要求</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1.产品的质量应满足业主、监理及买方工程施工的需要。</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2.产品的质量及技术标准应符合国家最新相关技术标准。</w:t>
      </w:r>
    </w:p>
    <w:p>
      <w:pPr>
        <w:pStyle w:val="4"/>
        <w:pageBreakBefore w:val="0"/>
        <w:numPr>
          <w:ilvl w:val="0"/>
          <w:numId w:val="0"/>
        </w:numPr>
        <w:kinsoku/>
        <w:wordWrap/>
        <w:overflowPunct/>
        <w:topLinePunct w:val="0"/>
        <w:bidi w:val="0"/>
        <w:snapToGrid/>
        <w:spacing w:line="520" w:lineRule="exact"/>
        <w:ind w:left="0" w:leftChars="0" w:firstLine="562" w:firstLineChars="200"/>
        <w:rPr>
          <w:rFonts w:hint="eastAsia" w:ascii="仿宋" w:hAnsi="仿宋" w:eastAsia="仿宋" w:cs="仿宋"/>
          <w:b/>
          <w:bCs w:val="0"/>
          <w:color w:val="auto"/>
          <w:lang w:val="en-US" w:eastAsia="zh-CN"/>
        </w:rPr>
      </w:pPr>
      <w:r>
        <w:rPr>
          <w:rFonts w:hint="eastAsia" w:ascii="仿宋" w:hAnsi="仿宋" w:eastAsia="仿宋" w:cs="仿宋"/>
          <w:b/>
          <w:bCs w:val="0"/>
          <w:color w:val="auto"/>
          <w:kern w:val="2"/>
          <w:sz w:val="28"/>
          <w:szCs w:val="24"/>
          <w:lang w:val="en-US" w:eastAsia="zh-CN" w:bidi="ar-SA"/>
        </w:rPr>
        <w:t>五、</w:t>
      </w:r>
      <w:r>
        <w:rPr>
          <w:rFonts w:hint="eastAsia" w:ascii="仿宋" w:hAnsi="仿宋" w:eastAsia="仿宋" w:cs="仿宋"/>
          <w:b/>
          <w:bCs w:val="0"/>
          <w:color w:val="auto"/>
          <w:lang w:val="en-US" w:eastAsia="zh-CN"/>
        </w:rPr>
        <w:t>结算与支付</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1.商砼结算单价计算规则</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按江西省南昌地区当月信息价（江西省住房和城乡建设厅http://zjt.jiangxi.gov.cn/col/col69008/index.html）中商品混凝土的各标号当期含税信息价浮动+/- %，计算方式如下：</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含13%税率结算单价=[供货当期“江西省南昌地区当月信息价”相应标号商品混凝土中造价信息发布价*（1+下浮率），税率为13%，对应货款发票税率且保持一致。</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2、南昌区域建设造价当期信息价：</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根据供货当月“江西省南昌地区当月信息价（江西省住房和城乡建设厅http://zjt.jiangxi.gov.cn/col/col69008/index.html）”公布的相应标号为基准价。</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2.商砼结算方式</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2.1.结算方式：所有货物交付并经验收合格后，买方应在次月5日前同卖方办理最终结算手续，双方确定上月结算总额，以实际结算为准；</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2.2.支付条件：结算单据、发票等作为结算最终依据，买方根据卖方提供的结算单据及发票在规定期限内向卖方汇款；</w:t>
      </w:r>
    </w:p>
    <w:p>
      <w:pPr>
        <w:pageBreakBefore w:val="0"/>
        <w:kinsoku/>
        <w:wordWrap/>
        <w:overflowPunct/>
        <w:topLinePunct w:val="0"/>
        <w:bidi w:val="0"/>
        <w:snapToGrid/>
        <w:spacing w:line="520" w:lineRule="exact"/>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2.3.支付方式：货物运抵现场验收无误后，买方向卖方按合同支付货款，支付方式以合同签订为准。</w:t>
      </w:r>
    </w:p>
    <w:p>
      <w:pPr>
        <w:pStyle w:val="4"/>
        <w:pageBreakBefore w:val="0"/>
        <w:numPr>
          <w:ilvl w:val="0"/>
          <w:numId w:val="0"/>
        </w:numPr>
        <w:kinsoku/>
        <w:wordWrap/>
        <w:overflowPunct/>
        <w:topLinePunct w:val="0"/>
        <w:bidi w:val="0"/>
        <w:snapToGrid/>
        <w:spacing w:line="520" w:lineRule="exact"/>
        <w:ind w:left="0" w:leftChars="0" w:firstLine="562" w:firstLineChars="200"/>
        <w:rPr>
          <w:rFonts w:hint="eastAsia" w:ascii="仿宋" w:hAnsi="仿宋" w:eastAsia="仿宋" w:cs="仿宋"/>
          <w:b/>
          <w:bCs w:val="0"/>
          <w:color w:val="auto"/>
          <w:lang w:val="en-US" w:eastAsia="zh-CN"/>
        </w:rPr>
      </w:pPr>
      <w:r>
        <w:rPr>
          <w:rFonts w:hint="eastAsia" w:ascii="仿宋" w:hAnsi="仿宋" w:eastAsia="仿宋" w:cs="仿宋"/>
          <w:b/>
          <w:bCs w:val="0"/>
          <w:color w:val="auto"/>
          <w:kern w:val="2"/>
          <w:sz w:val="28"/>
          <w:szCs w:val="24"/>
          <w:lang w:val="en-US" w:eastAsia="zh-CN" w:bidi="ar-SA"/>
        </w:rPr>
        <w:t>六、</w:t>
      </w:r>
      <w:r>
        <w:rPr>
          <w:rFonts w:hint="eastAsia" w:ascii="仿宋" w:hAnsi="仿宋" w:eastAsia="仿宋" w:cs="仿宋"/>
          <w:b/>
          <w:bCs w:val="0"/>
          <w:color w:val="auto"/>
          <w:lang w:val="en-US" w:eastAsia="zh-CN"/>
        </w:rPr>
        <w:t>开票信息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发票种类：</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发票抬头：</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税号：</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其他要求：</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w:t>
            </w:r>
          </w:p>
        </w:tc>
      </w:tr>
    </w:tbl>
    <w:p>
      <w:pPr>
        <w:pStyle w:val="4"/>
        <w:pageBreakBefore w:val="0"/>
        <w:numPr>
          <w:ilvl w:val="0"/>
          <w:numId w:val="0"/>
        </w:numPr>
        <w:kinsoku/>
        <w:wordWrap/>
        <w:overflowPunct/>
        <w:topLinePunct w:val="0"/>
        <w:bidi w:val="0"/>
        <w:snapToGrid/>
        <w:spacing w:line="520" w:lineRule="exact"/>
        <w:ind w:left="0" w:leftChars="0" w:firstLine="562" w:firstLineChars="200"/>
        <w:rPr>
          <w:rFonts w:hint="eastAsia" w:ascii="仿宋" w:hAnsi="仿宋" w:eastAsia="仿宋" w:cs="仿宋"/>
          <w:b/>
          <w:bCs w:val="0"/>
          <w:color w:val="auto"/>
          <w:lang w:val="en-US" w:eastAsia="zh-CN"/>
        </w:rPr>
      </w:pPr>
      <w:r>
        <w:rPr>
          <w:rFonts w:hint="eastAsia" w:ascii="仿宋" w:hAnsi="仿宋" w:eastAsia="仿宋" w:cs="仿宋"/>
          <w:b/>
          <w:bCs w:val="0"/>
          <w:color w:val="auto"/>
          <w:kern w:val="2"/>
          <w:sz w:val="28"/>
          <w:szCs w:val="24"/>
          <w:lang w:val="en-US" w:eastAsia="zh-CN" w:bidi="ar-SA"/>
        </w:rPr>
        <w:t>七、</w:t>
      </w:r>
      <w:r>
        <w:rPr>
          <w:rFonts w:hint="eastAsia" w:ascii="仿宋" w:hAnsi="仿宋" w:eastAsia="仿宋" w:cs="仿宋"/>
          <w:b/>
          <w:bCs w:val="0"/>
          <w:color w:val="auto"/>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2.财务能力要求：代理商注册资金不低于50万元人民币，具有良好的资金财务状况、商业信誉和健全的财务会计制度；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3.生产能力要求：代理商有符合条件的生产商的授权书，且有能力提供本次采购的货物和服务，法律、行政法规规定的其他条件；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4.质量保证能力要求：投标供应商应保证产品必须是全新、未使用过的原装合格正品，完全符合采购文件规定的质量、规格和性能的要求，具有履行合同所必需的设备和专业技术能力；</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5.履约信用要求：履约信用良好，近年经营活动中无重大安全、质量事故、合同争议纠纷引起的违法行为记录及有关行政处罚等相关情况，参加政府采购活动前三年内，在经营活动中没有重大违法记录。</w:t>
      </w:r>
    </w:p>
    <w:p>
      <w:pPr>
        <w:pStyle w:val="4"/>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kern w:val="2"/>
          <w:sz w:val="28"/>
          <w:szCs w:val="24"/>
          <w:lang w:val="en-US" w:eastAsia="zh-CN" w:bidi="ar-SA"/>
        </w:rPr>
        <w:t>八、</w:t>
      </w:r>
      <w:r>
        <w:rPr>
          <w:rFonts w:hint="eastAsia" w:ascii="仿宋" w:hAnsi="仿宋" w:eastAsia="仿宋" w:cs="仿宋"/>
          <w:b/>
          <w:bCs w:val="0"/>
          <w:color w:val="auto"/>
          <w:lang w:val="en-US" w:eastAsia="zh-CN"/>
        </w:rPr>
        <w:t>响应文件递交</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1、询价采购响应文件</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2、营业执照</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kern w:val="2"/>
          <w:sz w:val="28"/>
          <w:szCs w:val="24"/>
          <w:lang w:val="en-US" w:eastAsia="zh-CN" w:bidi="ar-SA"/>
        </w:rPr>
      </w:pPr>
      <w:r>
        <w:rPr>
          <w:rFonts w:hint="eastAsia" w:ascii="仿宋" w:hAnsi="仿宋" w:eastAsia="仿宋" w:cs="仿宋"/>
          <w:b w:val="0"/>
          <w:bCs w:val="0"/>
          <w:color w:val="auto"/>
          <w:kern w:val="2"/>
          <w:sz w:val="28"/>
          <w:szCs w:val="24"/>
          <w:lang w:val="en-US" w:eastAsia="zh-CN" w:bidi="ar-SA"/>
        </w:rPr>
        <w:t>3、法人身份证复印件</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rPr>
      </w:pPr>
      <w:r>
        <w:rPr>
          <w:rFonts w:hint="eastAsia" w:ascii="仿宋" w:hAnsi="仿宋" w:eastAsia="仿宋" w:cs="仿宋"/>
          <w:b w:val="0"/>
          <w:bCs w:val="0"/>
          <w:color w:val="auto"/>
          <w:lang w:val="en-US" w:eastAsia="zh-CN"/>
        </w:rPr>
        <w:t>4、</w:t>
      </w:r>
      <w:r>
        <w:rPr>
          <w:rFonts w:hint="eastAsia" w:ascii="仿宋" w:hAnsi="仿宋" w:eastAsia="仿宋" w:cs="仿宋"/>
          <w:color w:val="auto"/>
        </w:rPr>
        <w:t>一般纳税人证明</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5、近三</w:t>
      </w:r>
      <w:r>
        <w:rPr>
          <w:rFonts w:hint="eastAsia" w:ascii="仿宋" w:hAnsi="仿宋" w:eastAsia="仿宋" w:cs="仿宋"/>
          <w:b w:val="0"/>
          <w:bCs w:val="0"/>
          <w:color w:val="auto"/>
          <w:kern w:val="2"/>
          <w:sz w:val="28"/>
          <w:szCs w:val="24"/>
          <w:lang w:val="en-US" w:eastAsia="zh-CN" w:bidi="ar-SA"/>
        </w:rPr>
        <w:t>年承担相关工程业</w:t>
      </w:r>
      <w:r>
        <w:rPr>
          <w:rFonts w:hint="eastAsia" w:ascii="仿宋" w:hAnsi="仿宋" w:eastAsia="仿宋" w:cs="仿宋"/>
          <w:b w:val="0"/>
          <w:bCs w:val="0"/>
          <w:color w:val="auto"/>
          <w:lang w:val="en-US" w:eastAsia="zh-CN"/>
        </w:rPr>
        <w:t>绩证明（如合同复印件、中标通知书等）</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6、</w:t>
      </w:r>
      <w:r>
        <w:rPr>
          <w:rFonts w:hint="eastAsia" w:ascii="仿宋" w:hAnsi="仿宋" w:eastAsia="仿宋" w:cs="仿宋"/>
          <w:color w:val="auto"/>
          <w:lang w:val="en-US" w:eastAsia="zh-CN"/>
        </w:rPr>
        <w:t>建筑业企业资质证书</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7、邀请函回执联</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8、开户许可证</w:t>
      </w:r>
    </w:p>
    <w:p>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0000FF"/>
          <w:lang w:val="en-US" w:eastAsia="zh-CN"/>
        </w:rPr>
      </w:pPr>
      <w:r>
        <w:rPr>
          <w:rFonts w:hint="eastAsia" w:ascii="仿宋" w:hAnsi="仿宋" w:eastAsia="仿宋" w:cs="仿宋"/>
          <w:b w:val="0"/>
          <w:bCs w:val="0"/>
          <w:color w:val="auto"/>
          <w:lang w:val="en-US" w:eastAsia="zh-CN"/>
        </w:rPr>
        <w:t>9、近一个月企业征信报告/近一年审计报告</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lang w:val="en-US" w:eastAsia="zh-CN"/>
        </w:rPr>
      </w:pPr>
      <w:r>
        <w:rPr>
          <w:rFonts w:hint="eastAsia" w:ascii="仿宋" w:hAnsi="仿宋" w:eastAsia="仿宋" w:cs="仿宋"/>
          <w:b w:val="0"/>
          <w:bCs w:val="0"/>
          <w:color w:val="auto"/>
          <w:lang w:val="en-US" w:eastAsia="zh-CN"/>
        </w:rPr>
        <w:t>报价单位按以上顺序加盖公章，装订成册（可邮寄，邮寄地址：胡丽花15970497219 江西省南昌市进贤县民和镇进贤大道726号进贤创控供应链金融有限责任公司）。</w:t>
      </w:r>
    </w:p>
    <w:p>
      <w:pPr>
        <w:pStyle w:val="4"/>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九、其他事项</w:t>
      </w:r>
    </w:p>
    <w:p>
      <w:pPr>
        <w:pageBreakBefore w:val="0"/>
        <w:numPr>
          <w:ilvl w:val="0"/>
          <w:numId w:val="0"/>
        </w:numPr>
        <w:kinsoku/>
        <w:wordWrap/>
        <w:overflowPunct/>
        <w:topLinePunct w:val="0"/>
        <w:bidi w:val="0"/>
        <w:snapToGrid/>
        <w:spacing w:line="520" w:lineRule="exact"/>
        <w:ind w:firstLine="560" w:firstLineChars="200"/>
        <w:rPr>
          <w:rFonts w:hint="eastAsia" w:ascii="仿宋" w:hAnsi="仿宋" w:eastAsia="仿宋" w:cs="仿宋"/>
          <w:b w:val="0"/>
          <w:bCs w:val="0"/>
          <w:color w:val="auto"/>
          <w:lang w:val="en-US" w:eastAsia="zh-CN"/>
        </w:rPr>
      </w:pPr>
      <w:r>
        <w:rPr>
          <w:rFonts w:hint="eastAsia" w:ascii="仿宋" w:hAnsi="仿宋" w:eastAsia="仿宋" w:cs="仿宋"/>
          <w:lang w:val="en-US" w:eastAsia="zh-CN"/>
        </w:rPr>
        <w:t>本次询价评选办法选用“经评审的最低投标价</w:t>
      </w:r>
      <w:r>
        <w:rPr>
          <w:rFonts w:hint="eastAsia" w:ascii="仿宋" w:hAnsi="仿宋" w:eastAsia="仿宋" w:cs="仿宋"/>
          <w:color w:val="auto"/>
          <w:lang w:val="en-US" w:eastAsia="zh-CN"/>
        </w:rPr>
        <w:t>法”，在同等质量、同等规模、同等参数情况下，根据价格从低至高排出前三名，优先选用第一名，若成交单位存在供应不足、材料质量等问题，按照排名顺序替换或增加供应商，供应价格参照中标最低价。在同等质量、同等规模、同等参数情况下如有两家及以上报价相同且为最</w:t>
      </w:r>
      <w:r>
        <w:rPr>
          <w:rFonts w:hint="eastAsia" w:ascii="仿宋" w:hAnsi="仿宋" w:eastAsia="仿宋" w:cs="仿宋"/>
          <w:lang w:val="en-US" w:eastAsia="zh-CN"/>
        </w:rPr>
        <w:t>低价，则采用摇号规则，第一轮摇号10个球中抽取抽签顺序，号码球序号标注的数字小的为第一位，依次排序，第二轮摇号则抽取排名顺序，号码球序号标注的数字小的为第一名，以此类推。</w:t>
      </w:r>
    </w:p>
    <w:p>
      <w:pPr>
        <w:pStyle w:val="4"/>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 w:hAnsi="仿宋" w:eastAsia="仿宋" w:cs="仿宋"/>
          <w:b/>
          <w:bCs/>
          <w:color w:val="auto"/>
          <w:kern w:val="2"/>
          <w:sz w:val="28"/>
          <w:szCs w:val="24"/>
          <w:lang w:val="en-US" w:eastAsia="zh-CN" w:bidi="ar-SA"/>
        </w:rPr>
      </w:pPr>
      <w:r>
        <w:rPr>
          <w:rFonts w:hint="eastAsia" w:ascii="仿宋" w:hAnsi="仿宋" w:eastAsia="仿宋" w:cs="仿宋"/>
          <w:b/>
          <w:bCs/>
          <w:color w:val="auto"/>
          <w:kern w:val="2"/>
          <w:sz w:val="28"/>
          <w:szCs w:val="24"/>
          <w:lang w:val="en-US" w:eastAsia="zh-CN" w:bidi="ar-SA"/>
        </w:rPr>
        <w:t>十、交货信息</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交货地点：收货人指定地点；</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交货方式：现场交货；</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交货期限：收货人指定时间；</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收货人：胡  凯；</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联系电话：</w:t>
      </w:r>
      <w:r>
        <w:rPr>
          <w:rFonts w:hint="eastAsia" w:ascii="仿宋" w:hAnsi="仿宋" w:eastAsia="仿宋" w:cs="仿宋"/>
          <w:b w:val="0"/>
          <w:bCs w:val="0"/>
          <w:color w:val="auto"/>
          <w:vertAlign w:val="baseline"/>
          <w:lang w:val="en-US" w:eastAsia="zh-CN"/>
        </w:rPr>
        <w:t>15070875986</w:t>
      </w:r>
      <w:r>
        <w:rPr>
          <w:rFonts w:hint="eastAsia" w:ascii="仿宋" w:hAnsi="仿宋" w:eastAsia="仿宋" w:cs="仿宋"/>
          <w:b w:val="0"/>
          <w:bCs w:val="0"/>
          <w:color w:val="auto"/>
          <w:lang w:val="en-US" w:eastAsia="zh-CN"/>
        </w:rPr>
        <w:t>。</w:t>
      </w:r>
    </w:p>
    <w:p>
      <w:pPr>
        <w:pStyle w:val="4"/>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 w:hAnsi="仿宋" w:eastAsia="仿宋" w:cs="仿宋"/>
          <w:b w:val="0"/>
          <w:bCs w:val="0"/>
          <w:color w:val="FF0000"/>
          <w:lang w:val="en-US" w:eastAsia="zh-CN"/>
        </w:rPr>
      </w:pPr>
      <w:r>
        <w:rPr>
          <w:rFonts w:hint="eastAsia" w:ascii="仿宋" w:hAnsi="仿宋" w:eastAsia="仿宋" w:cs="仿宋"/>
          <w:b/>
          <w:bCs/>
          <w:color w:val="auto"/>
          <w:kern w:val="2"/>
          <w:sz w:val="28"/>
          <w:szCs w:val="24"/>
          <w:lang w:val="en-US" w:eastAsia="zh-CN" w:bidi="ar-SA"/>
        </w:rPr>
        <w:t>十一、</w:t>
      </w:r>
      <w:r>
        <w:rPr>
          <w:rFonts w:hint="eastAsia" w:ascii="仿宋" w:hAnsi="仿宋" w:eastAsia="仿宋" w:cs="仿宋"/>
          <w:b w:val="0"/>
          <w:bCs w:val="0"/>
          <w:color w:val="auto"/>
          <w:kern w:val="2"/>
          <w:sz w:val="28"/>
          <w:szCs w:val="24"/>
          <w:lang w:val="en-US" w:eastAsia="zh-CN" w:bidi="ar-SA"/>
        </w:rPr>
        <w:t>进</w:t>
      </w:r>
      <w:r>
        <w:rPr>
          <w:rFonts w:hint="eastAsia" w:ascii="仿宋" w:hAnsi="仿宋" w:eastAsia="仿宋" w:cs="仿宋"/>
          <w:b w:val="0"/>
          <w:bCs w:val="0"/>
          <w:color w:val="FF0000"/>
          <w:kern w:val="2"/>
          <w:sz w:val="28"/>
          <w:szCs w:val="24"/>
          <w:lang w:val="en-US" w:eastAsia="zh-CN" w:bidi="ar-SA"/>
        </w:rPr>
        <w:t>贤创控供应链金融有限公司对于主材采购商品混凝土设置有控制价，询价报价以12月南昌地区信息价（江西省造价信息http://zjt.jiangxi.gov.cn/col/col69008/index.html）作为参考填报浮动系数，上浮+、下浮为－，浮动系数精确到小数点后两位。</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附件：1、进贤创控供应链金融有限责任公司询价采购响应文件</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2、进贤创控供应链金融有限责任公司投标邀请函</w:t>
      </w:r>
    </w:p>
    <w:p>
      <w:pPr>
        <w:pStyle w:val="2"/>
        <w:pageBreakBefore w:val="0"/>
        <w:kinsoku/>
        <w:wordWrap/>
        <w:overflowPunct/>
        <w:topLinePunct w:val="0"/>
        <w:bidi w:val="0"/>
        <w:snapToGrid/>
        <w:spacing w:line="520" w:lineRule="exact"/>
        <w:rPr>
          <w:rFonts w:hint="eastAsia" w:ascii="仿宋" w:hAnsi="仿宋" w:eastAsia="仿宋" w:cs="仿宋"/>
          <w:lang w:val="en-US" w:eastAsia="zh-CN"/>
        </w:rPr>
        <w:sectPr>
          <w:footerReference r:id="rId5" w:type="default"/>
          <w:pgSz w:w="11906" w:h="16838"/>
          <w:pgMar w:top="1497" w:right="1463" w:bottom="1440" w:left="1463"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36"/>
          <w:szCs w:val="32"/>
          <w:lang w:eastAsia="zh-CN"/>
        </w:rPr>
      </w:pPr>
      <w:r>
        <w:rPr>
          <w:rFonts w:hint="eastAsia" w:ascii="仿宋" w:hAnsi="仿宋" w:eastAsia="仿宋" w:cs="仿宋"/>
          <w:b w:val="0"/>
          <w:bCs w:val="0"/>
          <w:color w:val="auto"/>
          <w:sz w:val="36"/>
          <w:szCs w:val="32"/>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color w:val="auto"/>
          <w:sz w:val="36"/>
          <w:szCs w:val="32"/>
        </w:rPr>
      </w:pPr>
      <w:r>
        <w:rPr>
          <w:rFonts w:hint="eastAsia" w:ascii="仿宋" w:hAnsi="仿宋" w:eastAsia="仿宋" w:cs="仿宋"/>
          <w:b w:val="0"/>
          <w:bCs w:val="0"/>
          <w:color w:val="auto"/>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致</w:t>
      </w:r>
      <w:r>
        <w:rPr>
          <w:rFonts w:hint="eastAsia" w:ascii="仿宋" w:hAnsi="仿宋" w:eastAsia="仿宋" w:cs="仿宋"/>
          <w:b w:val="0"/>
          <w:bCs w:val="0"/>
          <w:color w:val="auto"/>
          <w:sz w:val="28"/>
          <w:szCs w:val="28"/>
          <w:lang w:eastAsia="zh-CN"/>
        </w:rPr>
        <w:t>进贤创控供应链金融有限责任公司</w:t>
      </w:r>
      <w:r>
        <w:rPr>
          <w:rFonts w:hint="eastAsia" w:ascii="仿宋" w:hAnsi="仿宋" w:eastAsia="仿宋" w:cs="仿宋"/>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询价书收悉，我单位认真阅知、理解并全面接受询价书的各项要求，报价如下：</w:t>
      </w:r>
    </w:p>
    <w:tbl>
      <w:tblPr>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9"/>
        <w:gridCol w:w="1384"/>
        <w:gridCol w:w="757"/>
        <w:gridCol w:w="816"/>
        <w:gridCol w:w="734"/>
        <w:gridCol w:w="1456"/>
        <w:gridCol w:w="1530"/>
        <w:gridCol w:w="87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序号</w:t>
            </w:r>
          </w:p>
        </w:tc>
        <w:tc>
          <w:tcPr>
            <w:tcW w:w="1384"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材料名称</w:t>
            </w:r>
          </w:p>
        </w:tc>
        <w:tc>
          <w:tcPr>
            <w:tcW w:w="757"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r>
              <w:rPr>
                <w:rFonts w:hint="eastAsia" w:ascii="仿宋" w:hAnsi="仿宋" w:eastAsia="仿宋" w:cs="仿宋"/>
                <w:i w:val="0"/>
                <w:iCs w:val="0"/>
                <w:color w:val="000000"/>
                <w:kern w:val="0"/>
                <w:sz w:val="22"/>
                <w:szCs w:val="22"/>
                <w:u w:val="none"/>
                <w:bdr w:val="none" w:color="auto" w:sz="0" w:space="0"/>
                <w:lang w:val="en-US" w:eastAsia="zh-CN" w:bidi="ar"/>
              </w:rPr>
              <w:t>型号</w:t>
            </w:r>
          </w:p>
        </w:tc>
        <w:tc>
          <w:tcPr>
            <w:tcW w:w="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数量</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单位</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bdr w:val="none" w:color="auto" w:sz="0" w:space="0"/>
                <w:lang w:val="en-US" w:eastAsia="zh-CN" w:bidi="ar"/>
              </w:rPr>
              <w:t>2023</w:t>
            </w:r>
            <w:r>
              <w:rPr>
                <w:rFonts w:hint="eastAsia" w:ascii="仿宋" w:hAnsi="仿宋" w:eastAsia="仿宋" w:cs="仿宋"/>
                <w:i w:val="0"/>
                <w:iCs w:val="0"/>
                <w:color w:val="000000"/>
                <w:kern w:val="0"/>
                <w:sz w:val="22"/>
                <w:szCs w:val="22"/>
                <w:u w:val="none"/>
                <w:bdr w:val="none" w:color="auto" w:sz="0" w:space="0"/>
                <w:lang w:val="en-US" w:eastAsia="zh-CN" w:bidi="ar"/>
              </w:rPr>
              <w:t>年</w:t>
            </w:r>
            <w:r>
              <w:rPr>
                <w:rFonts w:hint="eastAsia" w:ascii="仿宋" w:hAnsi="仿宋" w:eastAsia="仿宋" w:cs="仿宋"/>
                <w:i w:val="0"/>
                <w:iCs w:val="0"/>
                <w:color w:val="000000"/>
                <w:kern w:val="0"/>
                <w:sz w:val="22"/>
                <w:szCs w:val="22"/>
                <w:u w:val="none"/>
                <w:bdr w:val="none" w:color="auto" w:sz="0" w:space="0"/>
                <w:lang w:val="en-US" w:eastAsia="zh-CN" w:bidi="ar"/>
              </w:rPr>
              <w:t>12月</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信息价（元</w:t>
            </w:r>
            <w:r>
              <w:rPr>
                <w:rFonts w:hint="eastAsia" w:ascii="仿宋" w:hAnsi="仿宋" w:eastAsia="仿宋" w:cs="仿宋"/>
                <w:i w:val="0"/>
                <w:iCs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报价浮动系数（+/-%）</w:t>
            </w:r>
          </w:p>
        </w:tc>
        <w:tc>
          <w:tcPr>
            <w:tcW w:w="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税率</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384"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商品混凝土 </w:t>
            </w:r>
          </w:p>
        </w:tc>
        <w:tc>
          <w:tcPr>
            <w:tcW w:w="757"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r>
              <w:rPr>
                <w:rFonts w:hint="eastAsia" w:ascii="仿宋" w:hAnsi="仿宋" w:eastAsia="仿宋" w:cs="仿宋"/>
                <w:i w:val="0"/>
                <w:iCs w:val="0"/>
                <w:color w:val="000000"/>
                <w:kern w:val="0"/>
                <w:sz w:val="22"/>
                <w:szCs w:val="22"/>
                <w:u w:val="none"/>
                <w:lang w:val="en-US" w:eastAsia="zh-CN" w:bidi="ar"/>
              </w:rPr>
              <w:t>C30</w:t>
            </w:r>
          </w:p>
        </w:tc>
        <w:tc>
          <w:tcPr>
            <w:tcW w:w="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m³</w:t>
            </w:r>
          </w:p>
        </w:tc>
        <w:tc>
          <w:tcPr>
            <w:tcW w:w="14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463</w:t>
            </w:r>
          </w:p>
        </w:tc>
        <w:tc>
          <w:tcPr>
            <w:tcW w:w="1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仿宋" w:hAnsi="仿宋" w:eastAsia="仿宋" w:cs="仿宋"/>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仿宋" w:hAnsi="仿宋" w:eastAsia="仿宋" w:cs="仿宋"/>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jc w:val="center"/>
        </w:trPr>
        <w:tc>
          <w:tcPr>
            <w:tcW w:w="95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exac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bdr w:val="none" w:color="auto" w:sz="0" w:space="0"/>
                <w:lang w:val="en-US" w:eastAsia="zh-CN" w:bidi="ar"/>
              </w:rPr>
              <w:t>1、以上报价包含运输、装卸、开票等费用，税率为13%，如报价税率为3% ，则换算为13%。</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2、注：报价以12月南昌地区信息价（江西省造价信息http://zjt.jiangxi.gov.cn/col/col69008/index.html）作为参考填报浮动系数，上浮为+，下浮为－，浮动系数精确到小数点后两位。</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3、以上数量为暂定数量，具体以实际供应为准。</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4、其他：泵送价格</w:t>
            </w:r>
            <w:r>
              <w:rPr>
                <w:rFonts w:hint="eastAsia" w:ascii="仿宋" w:hAnsi="仿宋" w:eastAsia="仿宋" w:cs="仿宋"/>
                <w:i w:val="0"/>
                <w:iCs w:val="0"/>
                <w:color w:val="000000"/>
                <w:kern w:val="0"/>
                <w:sz w:val="24"/>
                <w:szCs w:val="24"/>
                <w:u w:val="singl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元/m³，p6</w:t>
            </w:r>
            <w:r>
              <w:rPr>
                <w:rFonts w:hint="eastAsia" w:ascii="仿宋" w:hAnsi="仿宋" w:eastAsia="仿宋" w:cs="仿宋"/>
                <w:i w:val="0"/>
                <w:iCs w:val="0"/>
                <w:color w:val="000000"/>
                <w:kern w:val="0"/>
                <w:sz w:val="24"/>
                <w:szCs w:val="24"/>
                <w:u w:val="singl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元/m³，p8</w:t>
            </w:r>
            <w:r>
              <w:rPr>
                <w:rFonts w:hint="eastAsia" w:ascii="仿宋" w:hAnsi="仿宋" w:eastAsia="仿宋" w:cs="仿宋"/>
                <w:i w:val="0"/>
                <w:iCs w:val="0"/>
                <w:color w:val="000000"/>
                <w:kern w:val="0"/>
                <w:sz w:val="24"/>
                <w:szCs w:val="24"/>
                <w:u w:val="singl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元/m³，p10</w:t>
            </w:r>
            <w:r>
              <w:rPr>
                <w:rFonts w:hint="eastAsia" w:ascii="仿宋" w:hAnsi="仿宋" w:eastAsia="仿宋" w:cs="仿宋"/>
                <w:i w:val="0"/>
                <w:iCs w:val="0"/>
                <w:color w:val="000000"/>
                <w:kern w:val="0"/>
                <w:sz w:val="24"/>
                <w:szCs w:val="24"/>
                <w:u w:val="singl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元/m³，膨胀剂</w:t>
            </w:r>
            <w:r>
              <w:rPr>
                <w:rFonts w:hint="eastAsia" w:ascii="仿宋" w:hAnsi="仿宋" w:eastAsia="仿宋" w:cs="仿宋"/>
                <w:i w:val="0"/>
                <w:iCs w:val="0"/>
                <w:color w:val="000000"/>
                <w:kern w:val="0"/>
                <w:sz w:val="24"/>
                <w:szCs w:val="24"/>
                <w:u w:val="singl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元/m³，水下</w:t>
            </w:r>
            <w:r>
              <w:rPr>
                <w:rFonts w:hint="eastAsia" w:ascii="仿宋" w:hAnsi="仿宋" w:eastAsia="仿宋" w:cs="仿宋"/>
                <w:i w:val="0"/>
                <w:iCs w:val="0"/>
                <w:color w:val="000000"/>
                <w:kern w:val="0"/>
                <w:sz w:val="24"/>
                <w:szCs w:val="24"/>
                <w:u w:val="singl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元/m³，细石</w:t>
            </w:r>
            <w:r>
              <w:rPr>
                <w:rFonts w:hint="eastAsia" w:ascii="仿宋" w:hAnsi="仿宋" w:eastAsia="仿宋" w:cs="仿宋"/>
                <w:i w:val="0"/>
                <w:iCs w:val="0"/>
                <w:color w:val="000000"/>
                <w:kern w:val="0"/>
                <w:sz w:val="24"/>
                <w:szCs w:val="24"/>
                <w:u w:val="single"/>
                <w:bdr w:val="none" w:color="auto" w:sz="0" w:space="0"/>
                <w:lang w:val="en-US" w:eastAsia="zh-CN" w:bidi="ar"/>
              </w:rPr>
              <w:t xml:space="preserve">    </w:t>
            </w:r>
            <w:r>
              <w:rPr>
                <w:rFonts w:hint="eastAsia" w:ascii="仿宋" w:hAnsi="仿宋" w:eastAsia="仿宋" w:cs="仿宋"/>
                <w:i w:val="0"/>
                <w:iCs w:val="0"/>
                <w:color w:val="000000"/>
                <w:kern w:val="0"/>
                <w:sz w:val="24"/>
                <w:szCs w:val="24"/>
                <w:u w:val="none"/>
                <w:bdr w:val="none" w:color="auto" w:sz="0" w:space="0"/>
                <w:lang w:val="en-US" w:eastAsia="zh-CN" w:bidi="ar"/>
              </w:rPr>
              <w:t>元/m³等。</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5、项目具体供应过程中如有其他型号的商品混凝土，结算价格参考商品混凝土c30报价的浮动系数，按相应信息价下浮。</w:t>
            </w:r>
          </w:p>
        </w:tc>
      </w:tr>
    </w:tbl>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如贵单位接受我单位报价，本响应文件及贵单位询价书将共同成对我单位的约束，我单位将全面履行责任。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440" w:lineRule="exact"/>
        <w:ind w:firstLine="56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（单位名称及签章）</w:t>
      </w: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pPr>
        <w:bidi w:val="0"/>
        <w:ind w:left="0" w:leftChars="0" w:firstLine="0" w:firstLineChars="0"/>
        <w:jc w:val="center"/>
        <w:rPr>
          <w:rFonts w:hint="eastAsia" w:ascii="仿宋" w:hAnsi="仿宋" w:eastAsia="仿宋" w:cs="仿宋"/>
          <w:b w:val="0"/>
          <w:bCs w:val="0"/>
          <w:color w:val="auto"/>
          <w:sz w:val="36"/>
          <w:szCs w:val="36"/>
          <w:lang w:eastAsia="zh-CN"/>
        </w:rPr>
      </w:pPr>
    </w:p>
    <w:p>
      <w:pPr>
        <w:bidi w:val="0"/>
        <w:ind w:left="0" w:leftChars="0" w:firstLine="0" w:firstLineChars="0"/>
        <w:jc w:val="center"/>
        <w:rPr>
          <w:rFonts w:hint="eastAsia" w:ascii="仿宋" w:hAnsi="仿宋" w:eastAsia="仿宋" w:cs="仿宋"/>
          <w:b w:val="0"/>
          <w:bCs w:val="0"/>
          <w:color w:val="auto"/>
          <w:sz w:val="36"/>
          <w:szCs w:val="36"/>
          <w:lang w:eastAsia="zh-CN"/>
        </w:rPr>
      </w:pPr>
    </w:p>
    <w:p>
      <w:pPr>
        <w:bidi w:val="0"/>
        <w:ind w:left="0" w:leftChars="0" w:firstLine="0" w:firstLineChars="0"/>
        <w:jc w:val="center"/>
        <w:rPr>
          <w:rFonts w:hint="eastAsia" w:ascii="仿宋" w:hAnsi="仿宋" w:eastAsia="仿宋" w:cs="仿宋"/>
          <w:b w:val="0"/>
          <w:bCs w:val="0"/>
          <w:color w:val="auto"/>
          <w:sz w:val="36"/>
          <w:szCs w:val="36"/>
          <w:lang w:eastAsia="zh-CN"/>
        </w:rPr>
      </w:pPr>
    </w:p>
    <w:p>
      <w:pPr>
        <w:bidi w:val="0"/>
        <w:ind w:left="0" w:leftChars="0" w:firstLine="0" w:firstLineChars="0"/>
        <w:jc w:val="center"/>
        <w:rPr>
          <w:rFonts w:hint="eastAsia" w:ascii="仿宋" w:hAnsi="仿宋" w:eastAsia="仿宋" w:cs="仿宋"/>
          <w:b w:val="0"/>
          <w:bCs w:val="0"/>
          <w:color w:val="auto"/>
          <w:sz w:val="36"/>
          <w:szCs w:val="36"/>
          <w:lang w:eastAsia="zh-CN"/>
        </w:rPr>
      </w:pPr>
    </w:p>
    <w:p>
      <w:pPr>
        <w:bidi w:val="0"/>
        <w:ind w:left="0" w:leftChars="0" w:firstLine="0" w:firstLineChars="0"/>
        <w:jc w:val="center"/>
        <w:rPr>
          <w:rFonts w:hint="eastAsia" w:ascii="仿宋" w:hAnsi="仿宋" w:eastAsia="仿宋" w:cs="仿宋"/>
          <w:b w:val="0"/>
          <w:bCs w:val="0"/>
          <w:color w:val="auto"/>
          <w:sz w:val="36"/>
          <w:szCs w:val="36"/>
          <w:lang w:eastAsia="zh-CN"/>
        </w:rPr>
      </w:pPr>
    </w:p>
    <w:p>
      <w:pPr>
        <w:bidi w:val="0"/>
        <w:ind w:left="0" w:leftChars="0" w:firstLine="0" w:firstLineChars="0"/>
        <w:jc w:val="center"/>
        <w:rPr>
          <w:rFonts w:hint="eastAsia" w:ascii="仿宋" w:hAnsi="仿宋" w:eastAsia="仿宋" w:cs="仿宋"/>
          <w:b w:val="0"/>
          <w:bCs w:val="0"/>
          <w:color w:val="auto"/>
          <w:sz w:val="36"/>
          <w:szCs w:val="36"/>
        </w:rPr>
      </w:pPr>
      <w:r>
        <w:rPr>
          <w:rFonts w:hint="eastAsia" w:ascii="仿宋" w:hAnsi="仿宋" w:eastAsia="仿宋" w:cs="仿宋"/>
          <w:b w:val="0"/>
          <w:bCs w:val="0"/>
          <w:color w:val="auto"/>
          <w:sz w:val="36"/>
          <w:szCs w:val="36"/>
          <w:lang w:eastAsia="zh-CN"/>
        </w:rPr>
        <w:t>进贤创控供应链金融有限责任公司</w:t>
      </w:r>
      <w:r>
        <w:rPr>
          <w:rFonts w:hint="eastAsia" w:ascii="仿宋" w:hAnsi="仿宋" w:eastAsia="仿宋" w:cs="仿宋"/>
          <w:b w:val="0"/>
          <w:bCs w:val="0"/>
          <w:color w:val="auto"/>
          <w:sz w:val="36"/>
          <w:szCs w:val="36"/>
        </w:rPr>
        <w:t>投标邀请函</w:t>
      </w:r>
    </w:p>
    <w:p>
      <w:pPr>
        <w:ind w:left="638" w:leftChars="228" w:firstLine="2880" w:firstLineChars="1200"/>
        <w:rPr>
          <w:rFonts w:hint="eastAsia" w:ascii="仿宋" w:hAnsi="仿宋" w:eastAsia="仿宋" w:cs="仿宋"/>
          <w:b w:val="0"/>
          <w:bCs w:val="0"/>
          <w:color w:val="auto"/>
          <w:sz w:val="24"/>
          <w:szCs w:val="24"/>
        </w:rPr>
      </w:pPr>
    </w:p>
    <w:p>
      <w:pPr>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进贤创控供应链金融有限责任公司</w:t>
      </w:r>
      <w:r>
        <w:rPr>
          <w:rFonts w:hint="eastAsia" w:ascii="仿宋" w:hAnsi="仿宋" w:eastAsia="仿宋" w:cs="仿宋"/>
          <w:b w:val="0"/>
          <w:bCs w:val="0"/>
          <w:color w:val="auto"/>
          <w:sz w:val="24"/>
          <w:szCs w:val="24"/>
        </w:rPr>
        <w:t>对</w:t>
      </w:r>
      <w:r>
        <w:rPr>
          <w:rFonts w:hint="eastAsia" w:ascii="仿宋" w:hAnsi="仿宋" w:eastAsia="仿宋" w:cs="仿宋"/>
          <w:b w:val="0"/>
          <w:bCs w:val="0"/>
          <w:color w:val="FF0000"/>
          <w:sz w:val="24"/>
          <w:szCs w:val="24"/>
          <w:lang w:val="en-US" w:eastAsia="zh-CN"/>
        </w:rPr>
        <w:t>2024年第一季度主材</w:t>
      </w:r>
      <w:r>
        <w:rPr>
          <w:rFonts w:hint="eastAsia" w:ascii="仿宋" w:hAnsi="仿宋" w:eastAsia="仿宋" w:cs="仿宋"/>
          <w:b w:val="0"/>
          <w:bCs w:val="0"/>
          <w:color w:val="auto"/>
          <w:sz w:val="24"/>
          <w:szCs w:val="24"/>
        </w:rPr>
        <w:t>生产物资及服务进行招标</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集采、供意向的确定</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兹邀请合格供应商前来洽谈。具体要求如下</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1、招标范围</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FF0000"/>
          <w:sz w:val="24"/>
          <w:szCs w:val="24"/>
          <w:lang w:val="en-US" w:eastAsia="zh-CN"/>
        </w:rPr>
        <w:t>商品混凝土</w:t>
      </w:r>
      <w:r>
        <w:rPr>
          <w:rFonts w:hint="eastAsia" w:ascii="仿宋" w:hAnsi="仿宋" w:eastAsia="仿宋" w:cs="仿宋"/>
          <w:b w:val="0"/>
          <w:bCs w:val="0"/>
          <w:color w:val="FF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rPr>
        <w:t>2、供应商资质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合格的生产商授权书、具备增值税一般纳税人资格</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0000FF"/>
          <w:sz w:val="24"/>
          <w:szCs w:val="24"/>
        </w:rPr>
      </w:pPr>
      <w:r>
        <w:rPr>
          <w:rFonts w:hint="eastAsia" w:ascii="仿宋" w:hAnsi="仿宋" w:eastAsia="仿宋" w:cs="仿宋"/>
          <w:b w:val="0"/>
          <w:bCs w:val="0"/>
          <w:color w:val="auto"/>
          <w:sz w:val="24"/>
          <w:szCs w:val="24"/>
        </w:rPr>
        <w:t>3、产品要求</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供应商需保证产品是全新、未使用过的原装合格正品，完全符合采购文件规定的质量、规格和性能</w:t>
      </w:r>
      <w:r>
        <w:rPr>
          <w:rFonts w:hint="eastAsia" w:ascii="仿宋" w:hAnsi="仿宋" w:eastAsia="仿宋" w:cs="仿宋"/>
          <w:b w:val="0"/>
          <w:bCs w:val="0"/>
          <w:color w:val="auto"/>
          <w:sz w:val="24"/>
          <w:szCs w:val="24"/>
          <w:highlight w:val="none"/>
        </w:rPr>
        <w:t>的要求，需提供相关产品的质量认证证书或检测试验报告等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4、投标时间</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如有合作意向</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请贵方于</w:t>
      </w:r>
      <w:r>
        <w:rPr>
          <w:rFonts w:hint="eastAsia" w:ascii="仿宋" w:hAnsi="仿宋" w:eastAsia="仿宋" w:cs="仿宋"/>
          <w:b w:val="0"/>
          <w:bCs w:val="0"/>
          <w:color w:val="auto"/>
          <w:sz w:val="24"/>
          <w:szCs w:val="24"/>
          <w:lang w:val="en-US" w:eastAsia="zh-CN"/>
        </w:rPr>
        <w:t>2024</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19</w:t>
      </w:r>
      <w:r>
        <w:rPr>
          <w:rFonts w:hint="eastAsia" w:ascii="仿宋" w:hAnsi="仿宋" w:eastAsia="仿宋" w:cs="仿宋"/>
          <w:b w:val="0"/>
          <w:bCs w:val="0"/>
          <w:color w:val="auto"/>
          <w:sz w:val="24"/>
          <w:szCs w:val="24"/>
        </w:rPr>
        <w:t>日</w:t>
      </w:r>
      <w:r>
        <w:rPr>
          <w:rFonts w:hint="eastAsia" w:ascii="仿宋" w:hAnsi="仿宋" w:eastAsia="仿宋" w:cs="仿宋"/>
          <w:b w:val="0"/>
          <w:bCs w:val="0"/>
          <w:color w:val="auto"/>
          <w:sz w:val="24"/>
          <w:szCs w:val="24"/>
          <w:lang w:val="en-US" w:eastAsia="zh-CN"/>
        </w:rPr>
        <w:t>下</w:t>
      </w:r>
      <w:r>
        <w:rPr>
          <w:rFonts w:hint="eastAsia" w:ascii="仿宋" w:hAnsi="仿宋" w:eastAsia="仿宋" w:cs="仿宋"/>
          <w:b w:val="0"/>
          <w:bCs w:val="0"/>
          <w:color w:val="auto"/>
          <w:sz w:val="24"/>
          <w:szCs w:val="24"/>
        </w:rPr>
        <w:t>午</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00</w:t>
      </w:r>
      <w:r>
        <w:rPr>
          <w:rFonts w:hint="eastAsia" w:ascii="仿宋" w:hAnsi="仿宋" w:eastAsia="仿宋" w:cs="仿宋"/>
          <w:b w:val="0"/>
          <w:bCs w:val="0"/>
          <w:color w:val="auto"/>
          <w:sz w:val="24"/>
          <w:szCs w:val="24"/>
        </w:rPr>
        <w:t>前按照本公司询价的要求和响应文件格式送往</w:t>
      </w:r>
      <w:r>
        <w:rPr>
          <w:rFonts w:hint="eastAsia" w:ascii="仿宋" w:hAnsi="仿宋" w:eastAsia="仿宋" w:cs="仿宋"/>
          <w:b w:val="0"/>
          <w:bCs w:val="0"/>
          <w:color w:val="auto"/>
          <w:sz w:val="24"/>
          <w:szCs w:val="24"/>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5、通讯地址</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rPr>
        <w:t>6、联系</w:t>
      </w:r>
      <w:r>
        <w:rPr>
          <w:rFonts w:hint="eastAsia" w:ascii="仿宋" w:hAnsi="仿宋" w:eastAsia="仿宋" w:cs="仿宋"/>
          <w:b w:val="0"/>
          <w:bCs w:val="0"/>
          <w:color w:val="auto"/>
          <w:sz w:val="24"/>
          <w:szCs w:val="24"/>
          <w:lang w:eastAsia="zh-CN"/>
        </w:rPr>
        <w:t>人及联系</w:t>
      </w:r>
      <w:r>
        <w:rPr>
          <w:rFonts w:hint="eastAsia" w:ascii="仿宋" w:hAnsi="仿宋" w:eastAsia="仿宋" w:cs="仿宋"/>
          <w:b w:val="0"/>
          <w:bCs w:val="0"/>
          <w:color w:val="auto"/>
          <w:sz w:val="24"/>
          <w:szCs w:val="24"/>
        </w:rPr>
        <w:t>电话</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highlight w:val="none"/>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7、招标</w:t>
      </w:r>
      <w:r>
        <w:rPr>
          <w:rFonts w:hint="eastAsia" w:ascii="仿宋" w:hAnsi="仿宋" w:eastAsia="仿宋" w:cs="仿宋"/>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顺祝</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商祺</w:t>
      </w:r>
      <w:r>
        <w:rPr>
          <w:rFonts w:hint="eastAsia" w:ascii="仿宋" w:hAnsi="仿宋" w:eastAsia="仿宋" w:cs="仿宋"/>
          <w:b w:val="0"/>
          <w:bCs w:val="0"/>
          <w:color w:val="auto"/>
          <w:sz w:val="24"/>
          <w:szCs w:val="24"/>
          <w:lang w:eastAsia="zh-CN"/>
        </w:rPr>
        <w:t>！</w:t>
      </w:r>
    </w:p>
    <w:p>
      <w:pPr>
        <w:ind w:firstLine="4320" w:firstLineChars="18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进贤创控供应链金融有限责任公司</w:t>
      </w:r>
    </w:p>
    <w:p>
      <w:pPr>
        <w:rPr>
          <w:rFonts w:hint="eastAsia" w:ascii="仿宋" w:hAnsi="仿宋" w:eastAsia="仿宋" w:cs="仿宋"/>
          <w:b w:val="0"/>
          <w:bCs w:val="0"/>
          <w:color w:val="auto"/>
          <w:sz w:val="24"/>
          <w:szCs w:val="24"/>
          <w:lang w:eastAsia="zh-CN"/>
        </w:rPr>
      </w:pPr>
    </w:p>
    <w:p>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日</w:t>
      </w:r>
    </w:p>
    <w:p>
      <w:pPr>
        <w:ind w:firstLine="6480" w:firstLineChars="2700"/>
        <w:rPr>
          <w:rFonts w:hint="eastAsia" w:ascii="仿宋" w:hAnsi="仿宋" w:eastAsia="仿宋" w:cs="仿宋"/>
          <w:b w:val="0"/>
          <w:bCs w:val="0"/>
          <w:color w:val="auto"/>
          <w:sz w:val="24"/>
          <w:szCs w:val="24"/>
        </w:rPr>
      </w:pPr>
    </w:p>
    <w:p>
      <w:pPr>
        <w:rPr>
          <w:rFonts w:hint="eastAsia" w:ascii="仿宋" w:hAnsi="仿宋" w:eastAsia="仿宋" w:cs="仿宋"/>
          <w:b w:val="0"/>
          <w:bCs w:val="0"/>
          <w:color w:val="auto"/>
          <w:sz w:val="24"/>
          <w:szCs w:val="24"/>
          <w:lang w:val="en-US" w:eastAsia="zh-CN"/>
        </w:rPr>
      </w:pPr>
    </w:p>
    <w:p>
      <w:pPr>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-----------------------------投标回函------------------------------</w:t>
      </w:r>
    </w:p>
    <w:p>
      <w:pPr>
        <w:rPr>
          <w:rFonts w:hint="eastAsia" w:ascii="仿宋" w:hAnsi="仿宋" w:eastAsia="仿宋" w:cs="仿宋"/>
          <w:b w:val="0"/>
          <w:bCs w:val="0"/>
          <w:color w:val="auto"/>
          <w:sz w:val="24"/>
          <w:szCs w:val="24"/>
        </w:rPr>
      </w:pPr>
    </w:p>
    <w:p>
      <w:pPr>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 xml:space="preserve">致： </w:t>
      </w:r>
      <w:r>
        <w:rPr>
          <w:rFonts w:hint="eastAsia" w:ascii="仿宋" w:hAnsi="仿宋" w:eastAsia="仿宋" w:cs="仿宋"/>
          <w:b w:val="0"/>
          <w:bCs w:val="0"/>
          <w:color w:val="auto"/>
          <w:sz w:val="24"/>
          <w:szCs w:val="24"/>
          <w:lang w:eastAsia="zh-CN"/>
        </w:rPr>
        <w:t>进贤创控供应链金融有限责任公司</w:t>
      </w:r>
    </w:p>
    <w:p>
      <w:pPr>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我公司</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w:t>
      </w:r>
      <w:r>
        <w:rPr>
          <w:rFonts w:hint="eastAsia" w:ascii="仿宋" w:hAnsi="仿宋" w:eastAsia="仿宋" w:cs="仿宋"/>
          <w:b w:val="0"/>
          <w:bCs w:val="0"/>
          <w:color w:val="auto"/>
          <w:sz w:val="24"/>
          <w:szCs w:val="24"/>
        </w:rPr>
        <w:t>，于    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月</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 日，接收到贵公司的招标书，经我公司研究决定，参与贵公司组织的对</w:t>
      </w:r>
      <w:r>
        <w:rPr>
          <w:rFonts w:hint="eastAsia" w:ascii="仿宋" w:hAnsi="仿宋" w:eastAsia="仿宋" w:cs="仿宋"/>
          <w:b w:val="0"/>
          <w:bCs w:val="0"/>
          <w:color w:val="auto"/>
          <w:sz w:val="24"/>
          <w:szCs w:val="24"/>
          <w:lang w:val="en-US" w:eastAsia="zh-CN"/>
        </w:rPr>
        <w:t>2024年</w:t>
      </w:r>
      <w:r>
        <w:rPr>
          <w:rFonts w:hint="eastAsia" w:ascii="仿宋" w:hAnsi="仿宋" w:eastAsia="仿宋" w:cs="仿宋"/>
          <w:b w:val="0"/>
          <w:bCs w:val="0"/>
          <w:color w:val="auto"/>
          <w:sz w:val="24"/>
          <w:szCs w:val="24"/>
          <w:lang w:val="en-US" w:eastAsia="zh-CN"/>
          <w14:textFill>
            <w14:gradFill>
              <w14:gsLst>
                <w14:gs w14:pos="0">
                  <w14:srgbClr w14:val="FE4444"/>
                </w14:gs>
                <w14:gs w14:pos="100000">
                  <w14:srgbClr w14:val="832B2B"/>
                </w14:gs>
              </w14:gsLst>
              <w14:lin w14:scaled="0"/>
            </w14:gradFill>
          </w14:textFill>
        </w:rPr>
        <w:t>第一季度商品混凝土主材采购</w:t>
      </w:r>
      <w:r>
        <w:rPr>
          <w:rFonts w:hint="eastAsia" w:ascii="仿宋" w:hAnsi="仿宋" w:eastAsia="仿宋" w:cs="仿宋"/>
          <w:b w:val="0"/>
          <w:bCs w:val="0"/>
          <w:color w:val="auto"/>
          <w:sz w:val="24"/>
          <w:szCs w:val="24"/>
          <w:lang w:val="en-US" w:eastAsia="zh-CN"/>
        </w:rPr>
        <w:t>项目</w:t>
      </w:r>
      <w:r>
        <w:rPr>
          <w:rFonts w:hint="eastAsia" w:ascii="仿宋" w:hAnsi="仿宋" w:eastAsia="仿宋" w:cs="仿宋"/>
          <w:b w:val="0"/>
          <w:bCs w:val="0"/>
          <w:color w:val="auto"/>
          <w:sz w:val="24"/>
          <w:szCs w:val="24"/>
        </w:rPr>
        <w:t>的投标活动。</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特此回执</w:t>
      </w:r>
    </w:p>
    <w:p>
      <w:pPr>
        <w:ind w:firstLine="5760" w:firstLineChars="24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投标单位：   （公章）</w:t>
      </w:r>
    </w:p>
    <w:p>
      <w:pPr>
        <w:rPr>
          <w:rFonts w:hint="eastAsia" w:ascii="仿宋" w:hAnsi="仿宋" w:eastAsia="仿宋" w:cs="仿宋"/>
          <w:b w:val="0"/>
          <w:bCs w:val="0"/>
          <w:color w:val="auto"/>
          <w:sz w:val="24"/>
          <w:szCs w:val="24"/>
        </w:rPr>
      </w:pPr>
    </w:p>
    <w:p>
      <w:pPr>
        <w:ind w:firstLine="6480" w:firstLineChars="2700"/>
        <w:rPr>
          <w:rFonts w:hint="eastAsia" w:ascii="仿宋" w:hAnsi="仿宋" w:eastAsia="仿宋" w:cs="仿宋"/>
          <w:color w:val="auto"/>
          <w:lang w:val="en-US" w:eastAsia="zh-CN"/>
        </w:rPr>
      </w:pPr>
      <w:bookmarkStart w:id="0" w:name="_GoBack"/>
      <w:bookmarkEnd w:id="0"/>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年  月</w:t>
      </w:r>
      <w:r>
        <w:rPr>
          <w:rFonts w:hint="eastAsia" w:ascii="仿宋" w:hAnsi="仿宋" w:eastAsia="仿宋" w:cs="仿宋"/>
          <w:b w:val="0"/>
          <w:bCs w:val="0"/>
          <w:color w:val="auto"/>
          <w:sz w:val="24"/>
          <w:szCs w:val="24"/>
          <w:lang w:val="en-US" w:eastAsia="zh-CN"/>
        </w:rPr>
        <w:t xml:space="preserve">  日</w:t>
      </w:r>
    </w:p>
    <w:sectPr>
      <w:headerReference r:id="rId8" w:type="first"/>
      <w:footerReference r:id="rId11" w:type="first"/>
      <w:headerReference r:id="rId6" w:type="default"/>
      <w:footerReference r:id="rId9" w:type="default"/>
      <w:headerReference r:id="rId7" w:type="even"/>
      <w:footerReference r:id="rId10" w:type="even"/>
      <w:pgSz w:w="11906" w:h="16838"/>
      <w:pgMar w:top="1383" w:right="1803"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4"/>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0472BC2"/>
    <w:rsid w:val="01070B8F"/>
    <w:rsid w:val="017032C7"/>
    <w:rsid w:val="01E7687A"/>
    <w:rsid w:val="03F12EC7"/>
    <w:rsid w:val="045B7C4A"/>
    <w:rsid w:val="049767FC"/>
    <w:rsid w:val="04D035F5"/>
    <w:rsid w:val="058B1BDD"/>
    <w:rsid w:val="05F15F19"/>
    <w:rsid w:val="05FA3215"/>
    <w:rsid w:val="06B84D15"/>
    <w:rsid w:val="06F54B11"/>
    <w:rsid w:val="085A36BF"/>
    <w:rsid w:val="0A225BD2"/>
    <w:rsid w:val="0C112AAA"/>
    <w:rsid w:val="0CC90104"/>
    <w:rsid w:val="0CFF716D"/>
    <w:rsid w:val="0D26294C"/>
    <w:rsid w:val="0E552DBD"/>
    <w:rsid w:val="0EAD59CC"/>
    <w:rsid w:val="0EBD0EB8"/>
    <w:rsid w:val="0EC45910"/>
    <w:rsid w:val="0FB00BF3"/>
    <w:rsid w:val="0FBF4992"/>
    <w:rsid w:val="10D8364D"/>
    <w:rsid w:val="15DB4164"/>
    <w:rsid w:val="182D22BC"/>
    <w:rsid w:val="1B5A0E4D"/>
    <w:rsid w:val="1B7A3E63"/>
    <w:rsid w:val="1CCC4063"/>
    <w:rsid w:val="1E682698"/>
    <w:rsid w:val="200308CB"/>
    <w:rsid w:val="21AD2B8D"/>
    <w:rsid w:val="22870950"/>
    <w:rsid w:val="22F664C5"/>
    <w:rsid w:val="247F4759"/>
    <w:rsid w:val="24B86128"/>
    <w:rsid w:val="24CD14A7"/>
    <w:rsid w:val="25661E6D"/>
    <w:rsid w:val="28B628C8"/>
    <w:rsid w:val="29A7676B"/>
    <w:rsid w:val="29BA46F0"/>
    <w:rsid w:val="2B147E30"/>
    <w:rsid w:val="2C98683F"/>
    <w:rsid w:val="2F7B66D0"/>
    <w:rsid w:val="305D54E1"/>
    <w:rsid w:val="306727B0"/>
    <w:rsid w:val="31263EE9"/>
    <w:rsid w:val="322E5C7B"/>
    <w:rsid w:val="325731BC"/>
    <w:rsid w:val="325E58AF"/>
    <w:rsid w:val="33213C41"/>
    <w:rsid w:val="353B5B26"/>
    <w:rsid w:val="357E3630"/>
    <w:rsid w:val="3585423B"/>
    <w:rsid w:val="3926365D"/>
    <w:rsid w:val="3AE5539C"/>
    <w:rsid w:val="3C4269CC"/>
    <w:rsid w:val="3F1A48F3"/>
    <w:rsid w:val="403C5A07"/>
    <w:rsid w:val="4047068C"/>
    <w:rsid w:val="404C052A"/>
    <w:rsid w:val="422A7534"/>
    <w:rsid w:val="42331903"/>
    <w:rsid w:val="42E4094A"/>
    <w:rsid w:val="44DE708D"/>
    <w:rsid w:val="462E135F"/>
    <w:rsid w:val="48390A7E"/>
    <w:rsid w:val="487A0B7F"/>
    <w:rsid w:val="492D2FB3"/>
    <w:rsid w:val="4B3979C8"/>
    <w:rsid w:val="4B761CC6"/>
    <w:rsid w:val="4BF47533"/>
    <w:rsid w:val="4C206F9A"/>
    <w:rsid w:val="4CEA424D"/>
    <w:rsid w:val="51960CEF"/>
    <w:rsid w:val="54216C60"/>
    <w:rsid w:val="54B62813"/>
    <w:rsid w:val="58977827"/>
    <w:rsid w:val="58DD0FB2"/>
    <w:rsid w:val="5CC85C2F"/>
    <w:rsid w:val="5D973E25"/>
    <w:rsid w:val="5F296CFF"/>
    <w:rsid w:val="607034DD"/>
    <w:rsid w:val="62CF7E75"/>
    <w:rsid w:val="6497295D"/>
    <w:rsid w:val="651A0B49"/>
    <w:rsid w:val="6643033F"/>
    <w:rsid w:val="664B149E"/>
    <w:rsid w:val="6A7A0D56"/>
    <w:rsid w:val="6F271DE2"/>
    <w:rsid w:val="70BA245B"/>
    <w:rsid w:val="70F3156C"/>
    <w:rsid w:val="714A1482"/>
    <w:rsid w:val="71630796"/>
    <w:rsid w:val="71F04ABA"/>
    <w:rsid w:val="73F531FC"/>
    <w:rsid w:val="74EF3D29"/>
    <w:rsid w:val="7541494A"/>
    <w:rsid w:val="775748F9"/>
    <w:rsid w:val="77DA199C"/>
    <w:rsid w:val="7E3322DD"/>
    <w:rsid w:val="7F8C3A2D"/>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3">
    <w:name w:val="heading 1"/>
    <w:basedOn w:val="1"/>
    <w:next w:val="1"/>
    <w:autoRedefine/>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4">
    <w:name w:val="heading 2"/>
    <w:basedOn w:val="1"/>
    <w:next w:val="1"/>
    <w:autoRedefine/>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styleId="6">
    <w:name w:val="Body Text Indent"/>
    <w:basedOn w:val="1"/>
    <w:autoRedefine/>
    <w:qFormat/>
    <w:uiPriority w:val="0"/>
    <w:pPr>
      <w:ind w:left="720" w:hanging="720" w:hangingChars="200"/>
    </w:pPr>
    <w:rPr>
      <w:rFonts w:ascii="Times New Roman" w:hAnsi="Times New Roman" w:eastAsia="楷体_GB2312"/>
      <w:sz w:val="36"/>
      <w:szCs w:val="24"/>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tabs>
        <w:tab w:val="left" w:pos="992"/>
      </w:tabs>
      <w:spacing w:beforeLines="100" w:afterLines="300" w:line="520" w:lineRule="exact"/>
      <w:ind w:left="0"/>
      <w:jc w:val="center"/>
      <w:outlineLvl w:val="0"/>
    </w:pPr>
    <w:rPr>
      <w:rFonts w:ascii="Times New Roman" w:hAnsi="Times New Roman" w:eastAsia="黑体" w:cs="Times New Roman"/>
      <w:b/>
      <w:bCs/>
      <w:kern w:val="2"/>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标4"/>
    <w:basedOn w:val="15"/>
    <w:next w:val="1"/>
    <w:autoRedefine/>
    <w:qFormat/>
    <w:uiPriority w:val="0"/>
    <w:pPr>
      <w:tabs>
        <w:tab w:val="left" w:pos="992"/>
      </w:tabs>
      <w:spacing w:before="240" w:after="360"/>
      <w:outlineLvl w:val="3"/>
    </w:pPr>
    <w:rPr>
      <w:rFonts w:cs="Arial"/>
    </w:rPr>
  </w:style>
  <w:style w:type="paragraph" w:customStyle="1" w:styleId="15">
    <w:name w:val="标3"/>
    <w:basedOn w:val="16"/>
    <w:next w:val="1"/>
    <w:autoRedefine/>
    <w:qFormat/>
    <w:uiPriority w:val="0"/>
    <w:pPr>
      <w:tabs>
        <w:tab w:val="left" w:pos="992"/>
      </w:tabs>
      <w:adjustRightInd w:val="0"/>
      <w:spacing w:line="240" w:lineRule="exact"/>
      <w:jc w:val="left"/>
      <w:outlineLvl w:val="2"/>
    </w:pPr>
    <w:rPr>
      <w:rFonts w:ascii="Arial" w:hAnsi="Arial"/>
      <w:b/>
      <w:kern w:val="24"/>
      <w:sz w:val="24"/>
    </w:rPr>
  </w:style>
  <w:style w:type="paragraph" w:customStyle="1" w:styleId="16">
    <w:name w:val="标2"/>
    <w:basedOn w:val="17"/>
    <w:autoRedefine/>
    <w:qFormat/>
    <w:uiPriority w:val="99"/>
    <w:pPr>
      <w:keepNext/>
      <w:keepLines/>
      <w:tabs>
        <w:tab w:val="left" w:pos="992"/>
      </w:tabs>
      <w:spacing w:before="0" w:beforeLines="0"/>
      <w:outlineLvl w:val="1"/>
    </w:pPr>
    <w:rPr>
      <w:rFonts w:ascii="黑体" w:hAnsi="黑体" w:cs="宋体"/>
      <w:b w:val="0"/>
      <w:sz w:val="28"/>
      <w:szCs w:val="20"/>
    </w:rPr>
  </w:style>
  <w:style w:type="paragraph" w:customStyle="1" w:styleId="17">
    <w:name w:val="标1"/>
    <w:basedOn w:val="10"/>
    <w:autoRedefine/>
    <w:qFormat/>
    <w:uiPriority w:val="99"/>
    <w:pPr>
      <w:adjustRightInd w:val="0"/>
      <w:spacing w:before="156" w:beforeLines="50" w:after="156" w:afterLines="50"/>
    </w:pPr>
    <w:rPr>
      <w:kern w:val="24"/>
      <w:sz w:val="30"/>
      <w:szCs w:val="24"/>
    </w:rPr>
  </w:style>
  <w:style w:type="character" w:customStyle="1" w:styleId="18">
    <w:name w:val="font11"/>
    <w:basedOn w:val="13"/>
    <w:autoRedefine/>
    <w:qFormat/>
    <w:uiPriority w:val="0"/>
    <w:rPr>
      <w:rFonts w:hint="eastAsia" w:ascii="仿宋_GB2312" w:eastAsia="仿宋_GB2312" w:cs="仿宋_GB2312"/>
      <w:b/>
      <w:bCs/>
      <w:color w:val="000000"/>
      <w:sz w:val="24"/>
      <w:szCs w:val="24"/>
      <w:u w:val="none"/>
    </w:rPr>
  </w:style>
  <w:style w:type="character" w:customStyle="1" w:styleId="19">
    <w:name w:val="font71"/>
    <w:basedOn w:val="13"/>
    <w:autoRedefine/>
    <w:qFormat/>
    <w:uiPriority w:val="0"/>
    <w:rPr>
      <w:rFonts w:hint="eastAsia" w:ascii="宋体" w:hAnsi="宋体" w:eastAsia="宋体" w:cs="宋体"/>
      <w:b/>
      <w:bCs/>
      <w:color w:val="000000"/>
      <w:sz w:val="24"/>
      <w:szCs w:val="24"/>
      <w:u w:val="none"/>
    </w:rPr>
  </w:style>
  <w:style w:type="character" w:customStyle="1" w:styleId="20">
    <w:name w:val="font81"/>
    <w:basedOn w:val="13"/>
    <w:autoRedefine/>
    <w:qFormat/>
    <w:uiPriority w:val="0"/>
    <w:rPr>
      <w:rFonts w:hint="eastAsia" w:ascii="仿宋_GB2312" w:eastAsia="仿宋_GB2312" w:cs="仿宋_GB2312"/>
      <w:b/>
      <w:bCs/>
      <w:color w:val="000000"/>
      <w:sz w:val="24"/>
      <w:szCs w:val="24"/>
      <w:u w:val="single"/>
    </w:rPr>
  </w:style>
  <w:style w:type="character" w:customStyle="1" w:styleId="21">
    <w:name w:val="font61"/>
    <w:basedOn w:val="13"/>
    <w:autoRedefine/>
    <w:qFormat/>
    <w:uiPriority w:val="0"/>
    <w:rPr>
      <w:rFonts w:hint="eastAsia" w:ascii="仿宋" w:hAnsi="仿宋" w:eastAsia="仿宋" w:cs="仿宋"/>
      <w:color w:val="000000"/>
      <w:sz w:val="24"/>
      <w:szCs w:val="24"/>
      <w:u w:val="none"/>
    </w:rPr>
  </w:style>
  <w:style w:type="character" w:customStyle="1" w:styleId="22">
    <w:name w:val="font91"/>
    <w:basedOn w:val="13"/>
    <w:autoRedefine/>
    <w:qFormat/>
    <w:uiPriority w:val="0"/>
    <w:rPr>
      <w:rFonts w:hint="eastAsia" w:ascii="仿宋" w:hAnsi="仿宋" w:eastAsia="仿宋" w:cs="仿宋"/>
      <w:color w:val="FF0000"/>
      <w:sz w:val="24"/>
      <w:szCs w:val="24"/>
      <w:u w:val="none"/>
    </w:rPr>
  </w:style>
  <w:style w:type="character" w:customStyle="1" w:styleId="23">
    <w:name w:val="font101"/>
    <w:basedOn w:val="13"/>
    <w:autoRedefine/>
    <w:qFormat/>
    <w:uiPriority w:val="0"/>
    <w:rPr>
      <w:rFonts w:hint="eastAsia" w:ascii="宋体" w:hAnsi="宋体" w:eastAsia="宋体" w:cs="宋体"/>
      <w:color w:val="FF0000"/>
      <w:sz w:val="24"/>
      <w:szCs w:val="24"/>
      <w:u w:val="none"/>
    </w:rPr>
  </w:style>
  <w:style w:type="character" w:customStyle="1" w:styleId="24">
    <w:name w:val="font112"/>
    <w:basedOn w:val="13"/>
    <w:autoRedefine/>
    <w:qFormat/>
    <w:uiPriority w:val="0"/>
    <w:rPr>
      <w:rFonts w:hint="eastAsia" w:ascii="仿宋" w:hAnsi="仿宋" w:eastAsia="仿宋" w:cs="仿宋"/>
      <w:color w:val="FF0000"/>
      <w:sz w:val="24"/>
      <w:szCs w:val="24"/>
      <w:u w:val="single"/>
    </w:rPr>
  </w:style>
  <w:style w:type="character" w:customStyle="1" w:styleId="25">
    <w:name w:val="font51"/>
    <w:basedOn w:val="13"/>
    <w:autoRedefine/>
    <w:qFormat/>
    <w:uiPriority w:val="0"/>
    <w:rPr>
      <w:rFonts w:hint="eastAsia" w:ascii="仿宋" w:hAnsi="仿宋" w:eastAsia="仿宋" w:cs="仿宋"/>
      <w:color w:val="000000"/>
      <w:sz w:val="24"/>
      <w:szCs w:val="24"/>
      <w:u w:val="none"/>
    </w:rPr>
  </w:style>
  <w:style w:type="character" w:customStyle="1" w:styleId="26">
    <w:name w:val="font2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autoRedefine/>
    <w:qFormat/>
    <w:uiPriority w:val="0"/>
    <w:rPr>
      <w:rFonts w:hint="eastAsia" w:ascii="仿宋_GB2312" w:eastAsia="仿宋_GB2312" w:cs="仿宋_GB2312"/>
      <w:color w:val="000000"/>
      <w:sz w:val="24"/>
      <w:szCs w:val="24"/>
      <w:u w:val="single"/>
    </w:rPr>
  </w:style>
  <w:style w:type="character" w:customStyle="1" w:styleId="28">
    <w:name w:val="font41"/>
    <w:basedOn w:val="1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2363</Words>
  <Characters>2800</Characters>
  <Lines>0</Lines>
  <Paragraphs>0</Paragraphs>
  <TotalTime>7</TotalTime>
  <ScaleCrop>false</ScaleCrop>
  <LinksUpToDate>false</LinksUpToDate>
  <CharactersWithSpaces>2897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2024-01-16T08:09:50Z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EDC006DAD6E44A38812328DE2FE1A2F1_13</vt:lpwstr>
  </property>
</Properties>
</file>