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b w:val="0"/>
          <w:bCs/>
          <w:color w:val="auto"/>
          <w:sz w:val="36"/>
          <w:szCs w:val="36"/>
        </w:rPr>
      </w:pPr>
      <w:r>
        <w:rPr>
          <w:rFonts w:hint="eastAsia"/>
          <w:b w:val="0"/>
          <w:bCs/>
          <w:color w:val="auto"/>
          <w:sz w:val="36"/>
          <w:szCs w:val="36"/>
          <w:lang w:eastAsia="zh-CN"/>
        </w:rPr>
        <w:t>进贤创控供应链金融有限责任公司</w:t>
      </w:r>
      <w:r>
        <w:rPr>
          <w:rFonts w:hint="eastAsia"/>
          <w:b w:val="0"/>
          <w:bCs/>
          <w:color w:val="auto"/>
          <w:sz w:val="36"/>
          <w:szCs w:val="36"/>
        </w:rPr>
        <w:t>询价采购询价书</w:t>
      </w:r>
    </w:p>
    <w:p>
      <w:pPr>
        <w:ind w:left="0" w:leftChars="0" w:firstLine="0" w:firstLineChars="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各报价单位：</w:t>
      </w:r>
    </w:p>
    <w:p>
      <w:pPr>
        <w:ind w:left="0" w:leftChars="0" w:firstLine="560" w:firstLineChars="20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本单位拟就</w:t>
      </w:r>
      <w:r>
        <w:rPr>
          <w:rFonts w:hint="eastAsia" w:ascii="仿宋_GB2312" w:hAnsi="仿宋_GB2312" w:eastAsia="仿宋_GB2312" w:cs="仿宋_GB2312"/>
          <w:b w:val="0"/>
          <w:bCs w:val="0"/>
          <w:color w:val="0000FF"/>
          <w:lang w:val="en-US" w:eastAsia="zh-CN"/>
        </w:rPr>
        <w:t>进贤县职业技术高级中学新建工程</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一期</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设计施工采购一体化</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EPC</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总承包项目的预应力管桩</w:t>
      </w:r>
      <w:r>
        <w:rPr>
          <w:rFonts w:hint="eastAsia" w:ascii="仿宋_GB2312" w:hAnsi="仿宋_GB2312" w:eastAsia="仿宋_GB2312" w:cs="仿宋_GB2312"/>
          <w:b w:val="0"/>
          <w:bCs w:val="0"/>
          <w:color w:val="auto"/>
          <w:lang w:val="en-US" w:eastAsia="zh-CN"/>
        </w:rPr>
        <w:t>组织询价采购，诚邀符合资格条件的供应商参加本项目询价采购活动。请贵单位于</w:t>
      </w:r>
      <w:r>
        <w:rPr>
          <w:rFonts w:hint="eastAsia" w:ascii="仿宋_GB2312" w:hAnsi="仿宋_GB2312" w:eastAsia="仿宋_GB2312" w:cs="仿宋_GB2312"/>
          <w:b w:val="0"/>
          <w:bCs w:val="0"/>
          <w:color w:val="0000FF"/>
          <w:lang w:val="en-US" w:eastAsia="zh-CN"/>
        </w:rPr>
        <w:t>2024年3月11日至2024年3月14日下午15：00之前按</w:t>
      </w:r>
      <w:r>
        <w:rPr>
          <w:rFonts w:hint="eastAsia" w:ascii="仿宋_GB2312" w:hAnsi="仿宋_GB2312" w:eastAsia="仿宋_GB2312" w:cs="仿宋_GB2312"/>
          <w:b w:val="0"/>
          <w:bCs w:val="0"/>
          <w:color w:val="auto"/>
          <w:lang w:val="en-US" w:eastAsia="zh-CN"/>
        </w:rPr>
        <w:t>本询价的要求和响应文件格式予以送往进贤创控供应链金融有限责任公司，此次报价均采用纸质文件到现场的形式，报价文件由进贤创控供应链金融有限责任公司统一收取。2024年3月14日下午15：00之后送达至进贤创控供应链金融有限责任公司的报价文件均为无效。</w:t>
      </w:r>
    </w:p>
    <w:p>
      <w:pPr>
        <w:pStyle w:val="3"/>
        <w:numPr>
          <w:ilvl w:val="0"/>
          <w:numId w:val="0"/>
        </w:numPr>
        <w:bidi w:val="0"/>
        <w:ind w:left="0" w:leftChars="0" w:firstLine="560" w:firstLineChars="200"/>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kern w:val="2"/>
          <w:sz w:val="28"/>
          <w:szCs w:val="24"/>
          <w:lang w:val="en-US" w:eastAsia="zh-CN" w:bidi="ar-SA"/>
        </w:rPr>
        <w:t>一、</w:t>
      </w:r>
      <w:r>
        <w:rPr>
          <w:rFonts w:hint="eastAsia" w:ascii="仿宋_GB2312" w:hAnsi="仿宋_GB2312" w:eastAsia="仿宋_GB2312" w:cs="仿宋_GB2312"/>
          <w:b w:val="0"/>
          <w:bCs/>
          <w:color w:val="auto"/>
          <w:lang w:val="en-US" w:eastAsia="zh-CN"/>
        </w:rPr>
        <w:t>采购单位信息</w:t>
      </w:r>
    </w:p>
    <w:tbl>
      <w:tblPr>
        <w:tblStyle w:val="11"/>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单位名称：</w:t>
            </w:r>
          </w:p>
        </w:tc>
        <w:tc>
          <w:tcPr>
            <w:tcW w:w="654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5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地址：</w:t>
            </w:r>
          </w:p>
        </w:tc>
        <w:tc>
          <w:tcPr>
            <w:tcW w:w="654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江西省南昌市进贤县民和镇进贤大道726号（进贤交警大队斜对面二楼）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联系人及电话：</w:t>
            </w:r>
          </w:p>
        </w:tc>
        <w:tc>
          <w:tcPr>
            <w:tcW w:w="6542"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胡  凯15070875986</w:t>
            </w:r>
          </w:p>
        </w:tc>
      </w:tr>
    </w:tbl>
    <w:p>
      <w:pPr>
        <w:pStyle w:val="3"/>
        <w:numPr>
          <w:ilvl w:val="0"/>
          <w:numId w:val="0"/>
        </w:numPr>
        <w:bidi w:val="0"/>
        <w:ind w:left="0" w:leftChars="0" w:firstLine="560" w:firstLineChars="200"/>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kern w:val="2"/>
          <w:sz w:val="28"/>
          <w:szCs w:val="24"/>
          <w:lang w:val="en-US" w:eastAsia="zh-CN" w:bidi="ar-SA"/>
        </w:rPr>
        <w:t>二、</w:t>
      </w:r>
      <w:r>
        <w:rPr>
          <w:rFonts w:hint="eastAsia" w:ascii="仿宋_GB2312" w:hAnsi="仿宋_GB2312" w:eastAsia="仿宋_GB2312" w:cs="仿宋_GB2312"/>
          <w:b w:val="0"/>
          <w:bCs/>
          <w:color w:val="auto"/>
          <w:lang w:val="en-US" w:eastAsia="zh-CN"/>
        </w:rPr>
        <w:t>服务项目概况</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0000FF"/>
          <w:lang w:val="en-US" w:eastAsia="zh-CN"/>
        </w:rPr>
      </w:pPr>
      <w:r>
        <w:rPr>
          <w:rFonts w:hint="eastAsia" w:ascii="仿宋_GB2312" w:hAnsi="仿宋_GB2312" w:eastAsia="仿宋_GB2312" w:cs="仿宋_GB2312"/>
          <w:b w:val="0"/>
          <w:bCs w:val="0"/>
          <w:color w:val="0000FF"/>
          <w:lang w:val="en-US" w:eastAsia="zh-CN"/>
        </w:rPr>
        <w:t>工程内容：进贤县职业技术高级中学新建工程</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一期</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设计施工采购一体化</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EPC</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总承包项目，发包人进贤城市建设投资发展集团有限公司，</w:t>
      </w:r>
    </w:p>
    <w:p>
      <w:pPr>
        <w:keepNext w:val="0"/>
        <w:keepLines w:val="0"/>
        <w:pageBreakBefore w:val="0"/>
        <w:widowControl w:val="0"/>
        <w:kinsoku/>
        <w:wordWrap/>
        <w:overflowPunct/>
        <w:topLinePunct w:val="0"/>
        <w:autoSpaceDE/>
        <w:autoSpaceDN/>
        <w:bidi w:val="0"/>
        <w:adjustRightInd/>
        <w:snapToGrid/>
        <w:spacing w:line="556" w:lineRule="exact"/>
        <w:ind w:left="0" w:leftChars="0" w:firstLine="0" w:firstLineChars="0"/>
        <w:textAlignment w:val="auto"/>
        <w:rPr>
          <w:rFonts w:hint="eastAsia" w:ascii="仿宋_GB2312" w:hAnsi="仿宋_GB2312" w:eastAsia="仿宋_GB2312" w:cs="仿宋_GB2312"/>
          <w:b w:val="0"/>
          <w:bCs w:val="0"/>
          <w:color w:val="0000FF"/>
          <w:lang w:val="en-US" w:eastAsia="zh-CN"/>
        </w:rPr>
      </w:pPr>
      <w:r>
        <w:rPr>
          <w:rFonts w:hint="eastAsia" w:ascii="仿宋_GB2312" w:hAnsi="仿宋_GB2312" w:eastAsia="仿宋_GB2312" w:cs="仿宋_GB2312"/>
          <w:b w:val="0"/>
          <w:bCs w:val="0"/>
          <w:color w:val="0000FF"/>
          <w:lang w:val="en-US" w:eastAsia="zh-CN"/>
        </w:rPr>
        <w:t>承包人进贤县城发建筑有限公司、江西省建筑设计研究总院集团有限公司。总规划用地面积103539.07m</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约155.31亩。本项目总建筑面积约72987.16m'</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其中计容建筑面积约58906.08㎡</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不计容建筑建筑面积约14081.08m。主要建设内容为</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1栋六层的图书馆、办公综合楼，3栋五层教学楼实验楼，1栋二层食堂，2栋六层宿舍楼，风雨连廊，400米环形跑道及体育看台，两个入口门卫、地下车库及设备用房</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含人防</w:t>
      </w:r>
      <w:r>
        <w:rPr>
          <w:rFonts w:hint="eastAsia" w:ascii="仿宋_GB2312" w:hAnsi="仿宋_GB2312" w:cs="仿宋_GB2312"/>
          <w:b w:val="0"/>
          <w:bCs w:val="0"/>
          <w:color w:val="0000FF"/>
          <w:lang w:val="en-US" w:eastAsia="zh-CN"/>
        </w:rPr>
        <w:t>）</w:t>
      </w:r>
      <w:r>
        <w:rPr>
          <w:rFonts w:hint="eastAsia" w:ascii="仿宋_GB2312" w:hAnsi="仿宋_GB2312" w:eastAsia="仿宋_GB2312" w:cs="仿宋_GB2312"/>
          <w:b w:val="0"/>
          <w:bCs w:val="0"/>
          <w:color w:val="0000FF"/>
          <w:lang w:val="en-US" w:eastAsia="zh-CN"/>
        </w:rPr>
        <w:t>室外给排水、室外强弱电、绿化、道路、围墙等室外相关配套设施。工程地址位于滨湖大道以南、燕曹路以西地块。</w:t>
      </w:r>
    </w:p>
    <w:p>
      <w:pPr>
        <w:pStyle w:val="3"/>
        <w:numPr>
          <w:ilvl w:val="0"/>
          <w:numId w:val="0"/>
        </w:numPr>
        <w:bidi w:val="0"/>
        <w:ind w:left="0" w:leftChars="0" w:firstLine="560" w:firstLineChars="200"/>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kern w:val="2"/>
          <w:sz w:val="28"/>
          <w:szCs w:val="24"/>
          <w:lang w:val="en-US" w:eastAsia="zh-CN" w:bidi="ar-SA"/>
        </w:rPr>
        <w:t>三、</w:t>
      </w:r>
      <w:r>
        <w:rPr>
          <w:rFonts w:hint="eastAsia" w:ascii="仿宋_GB2312" w:hAnsi="仿宋_GB2312" w:eastAsia="仿宋_GB2312" w:cs="仿宋_GB2312"/>
          <w:b w:val="0"/>
          <w:bCs/>
          <w:color w:val="auto"/>
          <w:lang w:val="en-US" w:eastAsia="zh-CN"/>
        </w:rPr>
        <w:t>采购产品的名称、规格、数量：</w:t>
      </w:r>
    </w:p>
    <w:tbl>
      <w:tblPr>
        <w:tblStyle w:val="10"/>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4"/>
        <w:gridCol w:w="1725"/>
        <w:gridCol w:w="1913"/>
        <w:gridCol w:w="1131"/>
        <w:gridCol w:w="2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材料名称</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材料规格型号</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单位</w:t>
            </w:r>
          </w:p>
        </w:tc>
        <w:tc>
          <w:tcPr>
            <w:tcW w:w="2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暂定长度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预应力管桩</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PHC-600AB-130</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m</w:t>
            </w:r>
          </w:p>
        </w:tc>
        <w:tc>
          <w:tcPr>
            <w:tcW w:w="2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FF"/>
                <w:sz w:val="24"/>
                <w:szCs w:val="24"/>
                <w:u w:val="none"/>
                <w:lang w:val="en-US" w:eastAsia="zh-CN"/>
              </w:rPr>
            </w:pPr>
            <w:r>
              <w:rPr>
                <w:rFonts w:hint="eastAsia" w:ascii="仿宋_GB2312" w:hAnsi="仿宋_GB2312" w:cs="仿宋_GB2312"/>
                <w:i w:val="0"/>
                <w:iCs w:val="0"/>
                <w:color w:val="0000FF"/>
                <w:sz w:val="24"/>
                <w:szCs w:val="24"/>
                <w:u w:val="none"/>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7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仿宋_GB2312" w:hAnsi="仿宋_GB2312" w:eastAsia="仿宋_GB2312" w:cs="仿宋_GB2312"/>
                <w:i w:val="0"/>
                <w:iCs w:val="0"/>
                <w:color w:val="0000FF"/>
                <w:sz w:val="24"/>
                <w:szCs w:val="24"/>
                <w:u w:val="none"/>
              </w:rPr>
            </w:pPr>
            <w:r>
              <w:rPr>
                <w:rFonts w:hint="eastAsia" w:ascii="仿宋_GB2312" w:hAnsi="仿宋_GB2312" w:eastAsia="仿宋_GB2312" w:cs="仿宋_GB2312"/>
                <w:i w:val="0"/>
                <w:iCs w:val="0"/>
                <w:color w:val="0000FF"/>
                <w:kern w:val="0"/>
                <w:sz w:val="24"/>
                <w:szCs w:val="24"/>
                <w:u w:val="none"/>
                <w:lang w:val="en-US" w:eastAsia="zh-CN" w:bidi="ar"/>
              </w:rPr>
              <w:t>1、供货数量以实际结算数量为准。</w:t>
            </w:r>
          </w:p>
        </w:tc>
      </w:tr>
    </w:tbl>
    <w:p>
      <w:pPr>
        <w:pStyle w:val="3"/>
        <w:numPr>
          <w:ilvl w:val="0"/>
          <w:numId w:val="0"/>
        </w:numPr>
        <w:bidi w:val="0"/>
        <w:ind w:left="0" w:leftChars="0" w:firstLine="560" w:firstLineChars="200"/>
        <w:rPr>
          <w:rFonts w:hint="eastAsia" w:ascii="仿宋_GB2312" w:hAnsi="仿宋_GB2312" w:eastAsia="仿宋_GB2312" w:cs="仿宋_GB2312"/>
          <w:b/>
          <w:color w:val="auto"/>
          <w:kern w:val="2"/>
          <w:sz w:val="28"/>
          <w:szCs w:val="24"/>
          <w:lang w:val="en-US" w:eastAsia="zh-CN" w:bidi="ar-SA"/>
        </w:rPr>
      </w:pPr>
      <w:r>
        <w:rPr>
          <w:rFonts w:hint="eastAsia" w:ascii="仿宋_GB2312" w:hAnsi="仿宋_GB2312" w:eastAsia="仿宋_GB2312" w:cs="仿宋_GB2312"/>
          <w:b w:val="0"/>
          <w:bCs w:val="0"/>
          <w:color w:val="auto"/>
          <w:sz w:val="28"/>
          <w:szCs w:val="28"/>
        </w:rPr>
        <w:t>注：以实际送货量为准。</w:t>
      </w:r>
    </w:p>
    <w:p>
      <w:pPr>
        <w:pStyle w:val="3"/>
        <w:numPr>
          <w:ilvl w:val="0"/>
          <w:numId w:val="0"/>
        </w:numPr>
        <w:bidi w:val="0"/>
        <w:ind w:left="0" w:leftChars="0" w:firstLine="560" w:firstLineChars="200"/>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kern w:val="2"/>
          <w:sz w:val="28"/>
          <w:szCs w:val="24"/>
          <w:lang w:val="en-US" w:eastAsia="zh-CN" w:bidi="ar-SA"/>
        </w:rPr>
        <w:t>四、</w:t>
      </w:r>
      <w:r>
        <w:rPr>
          <w:rFonts w:hint="eastAsia" w:ascii="仿宋_GB2312" w:hAnsi="仿宋_GB2312" w:eastAsia="仿宋_GB2312" w:cs="仿宋_GB2312"/>
          <w:b w:val="0"/>
          <w:bCs/>
          <w:color w:val="auto"/>
          <w:lang w:val="en-US" w:eastAsia="zh-CN"/>
        </w:rPr>
        <w:t>质量要求</w:t>
      </w:r>
    </w:p>
    <w:p>
      <w:pP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1.产品的质量应满足业主、监理及买方工程施工的需要。</w:t>
      </w:r>
    </w:p>
    <w:p>
      <w:pP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2.产品的质量及技术标准应符合国家最新相关技术标准。</w:t>
      </w:r>
    </w:p>
    <w:p>
      <w:pPr>
        <w:pStyle w:val="3"/>
        <w:numPr>
          <w:ilvl w:val="0"/>
          <w:numId w:val="0"/>
        </w:numPr>
        <w:bidi w:val="0"/>
        <w:ind w:left="0" w:leftChars="0" w:firstLine="560" w:firstLineChars="200"/>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kern w:val="2"/>
          <w:sz w:val="28"/>
          <w:szCs w:val="24"/>
          <w:lang w:val="en-US" w:eastAsia="zh-CN" w:bidi="ar-SA"/>
        </w:rPr>
        <w:t>五、</w:t>
      </w:r>
      <w:r>
        <w:rPr>
          <w:rFonts w:hint="eastAsia" w:ascii="仿宋_GB2312" w:hAnsi="仿宋_GB2312" w:eastAsia="仿宋_GB2312" w:cs="仿宋_GB2312"/>
          <w:b w:val="0"/>
          <w:bCs/>
          <w:color w:val="auto"/>
          <w:lang w:val="en-US" w:eastAsia="zh-CN"/>
        </w:rPr>
        <w:t>结算与支付</w:t>
      </w:r>
    </w:p>
    <w:p>
      <w:pP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1.结算方式</w:t>
      </w:r>
    </w:p>
    <w:p>
      <w:pP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1.1.结算方式：所有货物交付并经验收合格后，买方应在次月5日前同卖方办理最终结算手续，双方确定上月结算总额，以实际结算为准；</w:t>
      </w:r>
    </w:p>
    <w:p>
      <w:pP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1.2.支付条件：结算单据、发票等作为结算最终依据，买方根据卖方提供的结算单据及发票在规定期限内向卖方汇款；</w:t>
      </w:r>
    </w:p>
    <w:p>
      <w:pPr>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1.3.支付方式：货物运抵现场验收无误后，买方向卖方按合同支付货款，支付方式以合同签订为准。</w:t>
      </w:r>
    </w:p>
    <w:p>
      <w:pPr>
        <w:pStyle w:val="3"/>
        <w:numPr>
          <w:ilvl w:val="0"/>
          <w:numId w:val="0"/>
        </w:numPr>
        <w:bidi w:val="0"/>
        <w:ind w:left="0" w:leftChars="0" w:firstLine="560" w:firstLineChars="200"/>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kern w:val="2"/>
          <w:sz w:val="28"/>
          <w:szCs w:val="24"/>
          <w:lang w:val="en-US" w:eastAsia="zh-CN" w:bidi="ar-SA"/>
        </w:rPr>
        <w:t>六、</w:t>
      </w:r>
      <w:r>
        <w:rPr>
          <w:rFonts w:hint="eastAsia" w:ascii="仿宋_GB2312" w:hAnsi="仿宋_GB2312" w:eastAsia="仿宋_GB2312" w:cs="仿宋_GB2312"/>
          <w:b w:val="0"/>
          <w:bCs/>
          <w:color w:val="auto"/>
          <w:lang w:val="en-US" w:eastAsia="zh-CN"/>
        </w:rPr>
        <w:t>开票信息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发票种类：</w:t>
            </w:r>
          </w:p>
        </w:tc>
        <w:tc>
          <w:tcPr>
            <w:tcW w:w="675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增值税专用发票（13%）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发票抬头：</w:t>
            </w:r>
          </w:p>
        </w:tc>
        <w:tc>
          <w:tcPr>
            <w:tcW w:w="675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进贤创控供应链金融有限责任公司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税号：</w:t>
            </w:r>
          </w:p>
        </w:tc>
        <w:tc>
          <w:tcPr>
            <w:tcW w:w="675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91360124MA7MJ1F44B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6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其他要求：</w:t>
            </w:r>
          </w:p>
        </w:tc>
        <w:tc>
          <w:tcPr>
            <w:tcW w:w="675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w:t>
            </w:r>
          </w:p>
        </w:tc>
      </w:tr>
    </w:tbl>
    <w:p>
      <w:pPr>
        <w:pStyle w:val="3"/>
        <w:numPr>
          <w:ilvl w:val="0"/>
          <w:numId w:val="0"/>
        </w:numPr>
        <w:bidi w:val="0"/>
        <w:ind w:left="0" w:leftChars="0" w:firstLine="560" w:firstLineChars="200"/>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kern w:val="2"/>
          <w:sz w:val="28"/>
          <w:szCs w:val="24"/>
          <w:lang w:val="en-US" w:eastAsia="zh-CN" w:bidi="ar-SA"/>
        </w:rPr>
        <w:t>七、</w:t>
      </w:r>
      <w:r>
        <w:rPr>
          <w:rFonts w:hint="eastAsia" w:ascii="仿宋_GB2312" w:hAnsi="仿宋_GB2312" w:eastAsia="仿宋_GB2312" w:cs="仿宋_GB2312"/>
          <w:b w:val="0"/>
          <w:bCs/>
          <w:color w:val="auto"/>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1.营业范围要求：在中华人民共和国境内依法注册、具有工商部门核发的“营业执照”</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2.财务能力要求：代理商注册资金不低于50万元人民币，具有良好的资金财务状况、商业信誉和健全的财务会计制度；</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3.生产能力要求：代理商有符合条件的生产商的授权书，且有能力提供本次采购的货物和服务，法律、行政法规规定的其他条件；</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4.质量保证能力要求：投标供应商应保证产品必须是全新、未使用过的原装合格正品，完全符合采购文件规定的质量、规格和性能的要求，具有履行合同所必需的设备和专业技术能力；</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5.履约信用要求：履约信用良好，近年经营活动中无重大安全、质量事故、合同争议纠纷引起的违法行为记录及有关行政处罚等相关情况，参加政府采购活动前三年内，在经营活动中没有重大违法记录。</w:t>
      </w:r>
    </w:p>
    <w:p>
      <w:pPr>
        <w:pStyle w:val="3"/>
        <w:pageBreakBefore w:val="0"/>
        <w:widowControl w:val="0"/>
        <w:numPr>
          <w:ilvl w:val="0"/>
          <w:numId w:val="0"/>
        </w:numPr>
        <w:kinsoku/>
        <w:wordWrap/>
        <w:overflowPunct/>
        <w:topLinePunct w:val="0"/>
        <w:autoSpaceDE/>
        <w:autoSpaceDN/>
        <w:bidi w:val="0"/>
        <w:adjustRightInd/>
        <w:snapToGrid/>
        <w:spacing w:line="556" w:lineRule="exact"/>
        <w:ind w:left="0" w:leftChars="0" w:firstLine="560" w:firstLineChars="200"/>
        <w:textAlignment w:val="auto"/>
        <w:rPr>
          <w:rFonts w:hint="eastAsia" w:ascii="仿宋_GB2312" w:hAnsi="仿宋_GB2312" w:eastAsia="仿宋_GB2312" w:cs="仿宋_GB2312"/>
          <w:b w:val="0"/>
          <w:bCs/>
          <w:color w:val="auto"/>
          <w:lang w:val="en-US" w:eastAsia="zh-CN"/>
        </w:rPr>
      </w:pPr>
      <w:r>
        <w:rPr>
          <w:rFonts w:hint="eastAsia" w:ascii="仿宋_GB2312" w:hAnsi="仿宋_GB2312" w:eastAsia="仿宋_GB2312" w:cs="仿宋_GB2312"/>
          <w:b w:val="0"/>
          <w:bCs/>
          <w:color w:val="auto"/>
          <w:kern w:val="2"/>
          <w:sz w:val="28"/>
          <w:szCs w:val="24"/>
          <w:lang w:val="en-US" w:eastAsia="zh-CN" w:bidi="ar-SA"/>
        </w:rPr>
        <w:t>八、</w:t>
      </w:r>
      <w:r>
        <w:rPr>
          <w:rFonts w:hint="eastAsia" w:ascii="仿宋_GB2312" w:hAnsi="仿宋_GB2312" w:eastAsia="仿宋_GB2312" w:cs="仿宋_GB2312"/>
          <w:b w:val="0"/>
          <w:bCs/>
          <w:color w:val="auto"/>
          <w:lang w:val="en-US" w:eastAsia="zh-CN"/>
        </w:rPr>
        <w:t>响应文件递交</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递交方式：报价文件由档案袋密封，档案袋外填好封条且加盖公章，报价文件应包含：</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1、询价采购响应文件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kern w:val="2"/>
          <w:sz w:val="28"/>
          <w:szCs w:val="24"/>
          <w:lang w:val="en-US" w:eastAsia="zh-CN" w:bidi="ar-SA"/>
        </w:rPr>
      </w:pPr>
      <w:r>
        <w:rPr>
          <w:rFonts w:hint="eastAsia" w:ascii="仿宋_GB2312" w:hAnsi="仿宋_GB2312" w:eastAsia="仿宋_GB2312" w:cs="仿宋_GB2312"/>
          <w:b w:val="0"/>
          <w:bCs w:val="0"/>
          <w:color w:val="auto"/>
          <w:lang w:val="en-US" w:eastAsia="zh-CN"/>
        </w:rPr>
        <w:t>2、营业执照</w:t>
      </w:r>
    </w:p>
    <w:p>
      <w:pPr>
        <w:pStyle w:val="14"/>
        <w:rPr>
          <w:rFonts w:hint="eastAsia" w:ascii="仿宋_GB2312" w:hAnsi="仿宋_GB2312" w:eastAsia="仿宋_GB2312" w:cs="仿宋_GB2312"/>
          <w:b w:val="0"/>
          <w:bCs w:val="0"/>
          <w:color w:val="auto"/>
          <w:kern w:val="2"/>
          <w:sz w:val="28"/>
          <w:szCs w:val="24"/>
          <w:lang w:val="en-US" w:eastAsia="zh-CN" w:bidi="ar-SA"/>
        </w:rPr>
      </w:pPr>
      <w:r>
        <w:rPr>
          <w:rFonts w:hint="eastAsia" w:ascii="仿宋_GB2312" w:hAnsi="仿宋_GB2312" w:eastAsia="仿宋_GB2312" w:cs="仿宋_GB2312"/>
          <w:b w:val="0"/>
          <w:bCs w:val="0"/>
          <w:color w:val="auto"/>
          <w:kern w:val="2"/>
          <w:sz w:val="28"/>
          <w:szCs w:val="24"/>
          <w:lang w:val="en-US" w:eastAsia="zh-CN" w:bidi="ar-SA"/>
        </w:rPr>
        <w:t>3、法人身份证复印件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color w:val="auto"/>
        </w:rPr>
        <w:t>一般纳税人证明</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5、近三</w:t>
      </w:r>
      <w:r>
        <w:rPr>
          <w:rFonts w:hint="eastAsia" w:ascii="仿宋_GB2312" w:hAnsi="仿宋_GB2312" w:eastAsia="仿宋_GB2312" w:cs="仿宋_GB2312"/>
          <w:b w:val="0"/>
          <w:bCs w:val="0"/>
          <w:color w:val="auto"/>
          <w:kern w:val="2"/>
          <w:sz w:val="28"/>
          <w:szCs w:val="24"/>
          <w:lang w:val="en-US" w:eastAsia="zh-CN" w:bidi="ar-SA"/>
        </w:rPr>
        <w:t>年承担相关工程业</w:t>
      </w:r>
      <w:r>
        <w:rPr>
          <w:rFonts w:hint="eastAsia" w:ascii="仿宋_GB2312" w:hAnsi="仿宋_GB2312" w:eastAsia="仿宋_GB2312" w:cs="仿宋_GB2312"/>
          <w:b w:val="0"/>
          <w:bCs w:val="0"/>
          <w:color w:val="auto"/>
          <w:lang w:val="en-US" w:eastAsia="zh-CN"/>
        </w:rPr>
        <w:t>绩证明（如合同复印件、中标通知书等）</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6、</w:t>
      </w:r>
      <w:r>
        <w:rPr>
          <w:rFonts w:hint="eastAsia" w:ascii="仿宋_GB2312" w:hAnsi="仿宋_GB2312" w:eastAsia="仿宋_GB2312" w:cs="仿宋_GB2312"/>
          <w:color w:val="auto"/>
          <w:lang w:val="en-US" w:eastAsia="zh-CN"/>
        </w:rPr>
        <w:t>建筑业企业资质证书或相关证明文件</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7、邀请函回执联</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8、开户许可证</w:t>
      </w:r>
    </w:p>
    <w:p>
      <w:pPr>
        <w:pageBreakBefore w:val="0"/>
        <w:widowControl w:val="0"/>
        <w:kinsoku/>
        <w:wordWrap/>
        <w:overflowPunct/>
        <w:topLinePunct w:val="0"/>
        <w:autoSpaceDE/>
        <w:autoSpaceDN/>
        <w:bidi w:val="0"/>
        <w:adjustRightInd/>
        <w:snapToGrid/>
        <w:spacing w:line="556" w:lineRule="exact"/>
        <w:ind w:left="0" w:leftChars="0" w:firstLine="560"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9、近一个月企业征信报告/近一年审计报告</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auto"/>
          <w:lang w:val="en-US" w:eastAsia="zh-CN"/>
        </w:rPr>
        <w:t>报价单位按以上顺序加盖公章，装订成册（可邮寄，邮寄地址：胡丽花15970497219 江西省南昌市进贤县民和镇进贤大道726号进贤创控供应链金融有限责任公司）。</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_GB2312" w:hAnsi="仿宋_GB2312" w:eastAsia="仿宋_GB2312" w:cs="仿宋_GB2312"/>
          <w:b w:val="0"/>
          <w:bCs w:val="0"/>
          <w:color w:val="0000FF"/>
          <w:kern w:val="2"/>
          <w:sz w:val="28"/>
          <w:szCs w:val="24"/>
          <w:lang w:val="en-US" w:eastAsia="zh-CN" w:bidi="ar-SA"/>
        </w:rPr>
      </w:pPr>
      <w:r>
        <w:rPr>
          <w:rFonts w:hint="eastAsia" w:ascii="仿宋_GB2312" w:hAnsi="仿宋_GB2312" w:eastAsia="仿宋_GB2312" w:cs="仿宋_GB2312"/>
          <w:b w:val="0"/>
          <w:bCs w:val="0"/>
          <w:color w:val="0000FF"/>
          <w:kern w:val="2"/>
          <w:sz w:val="28"/>
          <w:szCs w:val="24"/>
          <w:lang w:val="en-US" w:eastAsia="zh-CN" w:bidi="ar-SA"/>
        </w:rPr>
        <w:t>九、其他事项</w:t>
      </w:r>
    </w:p>
    <w:p>
      <w:pPr>
        <w:numPr>
          <w:ilvl w:val="0"/>
          <w:numId w:val="0"/>
        </w:numPr>
        <w:ind w:firstLine="560" w:firstLineChars="200"/>
        <w:rPr>
          <w:rFonts w:hint="eastAsia" w:ascii="仿宋_GB2312" w:hAnsi="仿宋_GB2312" w:eastAsia="仿宋_GB2312" w:cs="仿宋_GB2312"/>
          <w:b w:val="0"/>
          <w:bCs w:val="0"/>
          <w:color w:val="0000FF"/>
          <w:lang w:val="en-US" w:eastAsia="zh-CN"/>
        </w:rPr>
      </w:pPr>
      <w:r>
        <w:rPr>
          <w:rFonts w:hint="eastAsia" w:ascii="仿宋_GB2312" w:hAnsi="仿宋_GB2312" w:eastAsia="仿宋_GB2312" w:cs="仿宋_GB2312"/>
          <w:color w:val="0000FF"/>
          <w:lang w:val="en-US" w:eastAsia="zh-CN"/>
        </w:rPr>
        <w:t>本次询价设置有控制价，评选办法选用“经评审的最低投标价法”，在同等质量、同等规模、同等参数情况下，根据价格从低至高排出前三名，优先选用第一名，若成交单位存在供应不足、材料质量等问题，按照排名顺序替换或增加供应商，供应价格参照中标最低价。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依次类推。</w:t>
      </w:r>
    </w:p>
    <w:p>
      <w:pPr>
        <w:pStyle w:val="3"/>
        <w:pageBreakBefore w:val="0"/>
        <w:widowControl w:val="0"/>
        <w:numPr>
          <w:ilvl w:val="0"/>
          <w:numId w:val="0"/>
        </w:numPr>
        <w:kinsoku/>
        <w:wordWrap/>
        <w:overflowPunct/>
        <w:topLinePunct w:val="0"/>
        <w:autoSpaceDE/>
        <w:autoSpaceDN/>
        <w:bidi w:val="0"/>
        <w:adjustRightInd/>
        <w:snapToGrid/>
        <w:spacing w:line="556" w:lineRule="exact"/>
        <w:ind w:left="140" w:leftChars="0" w:firstLine="420" w:firstLineChars="0"/>
        <w:textAlignment w:val="auto"/>
        <w:rPr>
          <w:rFonts w:hint="eastAsia" w:ascii="仿宋_GB2312" w:hAnsi="仿宋_GB2312" w:eastAsia="仿宋_GB2312" w:cs="仿宋_GB2312"/>
          <w:b w:val="0"/>
          <w:bCs w:val="0"/>
          <w:color w:val="auto"/>
          <w:kern w:val="2"/>
          <w:sz w:val="28"/>
          <w:szCs w:val="24"/>
          <w:lang w:val="en-US" w:eastAsia="zh-CN" w:bidi="ar-SA"/>
        </w:rPr>
      </w:pPr>
      <w:r>
        <w:rPr>
          <w:rFonts w:hint="eastAsia" w:ascii="仿宋_GB2312" w:hAnsi="仿宋_GB2312" w:eastAsia="仿宋_GB2312" w:cs="仿宋_GB2312"/>
          <w:b w:val="0"/>
          <w:bCs w:val="0"/>
          <w:color w:val="auto"/>
          <w:kern w:val="2"/>
          <w:sz w:val="28"/>
          <w:szCs w:val="24"/>
          <w:lang w:val="en-US" w:eastAsia="zh-CN" w:bidi="ar-SA"/>
        </w:rPr>
        <w:t>十、交货信息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交货地点：收货人指定地点；</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交货方式：现场交货；</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交货期限：收货人指定时间；</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收货人：胡  凯；</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联系电话：</w:t>
      </w:r>
      <w:r>
        <w:rPr>
          <w:rFonts w:hint="eastAsia" w:ascii="仿宋_GB2312" w:hAnsi="仿宋_GB2312" w:eastAsia="仿宋_GB2312" w:cs="仿宋_GB2312"/>
          <w:b w:val="0"/>
          <w:bCs w:val="0"/>
          <w:color w:val="auto"/>
          <w:vertAlign w:val="baseline"/>
          <w:lang w:val="en-US" w:eastAsia="zh-CN"/>
        </w:rPr>
        <w:t>15070875986</w:t>
      </w:r>
      <w:r>
        <w:rPr>
          <w:rFonts w:hint="eastAsia" w:ascii="仿宋_GB2312" w:hAnsi="仿宋_GB2312" w:eastAsia="仿宋_GB2312" w:cs="仿宋_GB2312"/>
          <w:b w:val="0"/>
          <w:bCs w:val="0"/>
          <w:color w:val="auto"/>
          <w:lang w:val="en-US" w:eastAsia="zh-CN"/>
        </w:rPr>
        <w:t>。</w:t>
      </w: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p>
    <w:p>
      <w:pPr>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附件：1、进贤创控供应链金融有限责任公司询价采购响应文件</w:t>
      </w:r>
    </w:p>
    <w:p>
      <w:pPr>
        <w:pageBreakBefore w:val="0"/>
        <w:widowControl w:val="0"/>
        <w:kinsoku/>
        <w:wordWrap/>
        <w:overflowPunct/>
        <w:topLinePunct w:val="0"/>
        <w:autoSpaceDE/>
        <w:autoSpaceDN/>
        <w:bidi w:val="0"/>
        <w:adjustRightInd/>
        <w:snapToGrid/>
        <w:spacing w:line="556" w:lineRule="exact"/>
        <w:ind w:firstLine="1400" w:firstLineChars="5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auto"/>
          <w:lang w:val="en-US" w:eastAsia="zh-CN"/>
        </w:rPr>
        <w:t>2、进贤创控供应链金融有限责任公司投标邀请函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36"/>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lang w:eastAsia="zh-CN"/>
        </w:rPr>
      </w:pPr>
      <w:r>
        <w:rPr>
          <w:rFonts w:hint="eastAsia" w:ascii="方正小标宋简体" w:hAnsi="方正小标宋简体" w:eastAsia="方正小标宋简体" w:cs="方正小标宋简体"/>
          <w:b w:val="0"/>
          <w:bCs w:val="0"/>
          <w:color w:val="auto"/>
          <w:sz w:val="36"/>
          <w:szCs w:val="32"/>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6"/>
          <w:szCs w:val="32"/>
        </w:rPr>
      </w:pPr>
      <w:r>
        <w:rPr>
          <w:rFonts w:hint="eastAsia" w:ascii="方正小标宋简体" w:hAnsi="方正小标宋简体" w:eastAsia="方正小标宋简体" w:cs="方正小标宋简体"/>
          <w:b w:val="0"/>
          <w:bCs w:val="0"/>
          <w:color w:val="auto"/>
          <w:sz w:val="36"/>
          <w:szCs w:val="32"/>
        </w:rPr>
        <w:t>询价采购响应文件</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致</w:t>
      </w:r>
      <w:r>
        <w:rPr>
          <w:rFonts w:hint="eastAsia" w:ascii="仿宋_GB2312" w:hAnsi="仿宋_GB2312" w:cs="仿宋_GB2312"/>
          <w:b w:val="0"/>
          <w:bCs w:val="0"/>
          <w:color w:val="auto"/>
          <w:sz w:val="28"/>
          <w:szCs w:val="28"/>
          <w:lang w:eastAsia="zh-CN"/>
        </w:rPr>
        <w:t>进贤创控供应链金融有限责任公司</w:t>
      </w:r>
      <w:r>
        <w:rPr>
          <w:rFonts w:hint="eastAsia" w:ascii="仿宋_GB2312" w:hAnsi="仿宋_GB2312" w:eastAsia="仿宋_GB2312" w:cs="仿宋_GB2312"/>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询价书收悉，我单位认真阅知、理解并全面接受询价书的各项要求，报价如下：</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p>
    <w:tbl>
      <w:tblPr>
        <w:tblStyle w:val="10"/>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3"/>
        <w:gridCol w:w="1252"/>
        <w:gridCol w:w="1776"/>
        <w:gridCol w:w="771"/>
        <w:gridCol w:w="1241"/>
        <w:gridCol w:w="1689"/>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材料名称</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材料规格型号</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暂定长度</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单价（元/米）</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预应力管桩</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PHC-600AB-130</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15000</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lang w:val="en-US" w:eastAsia="zh-CN"/>
              </w:rPr>
            </w:pPr>
          </w:p>
        </w:tc>
        <w:tc>
          <w:tcPr>
            <w:tcW w:w="1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864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1、上述价格包括但不限于设备费、运费、检验试验费、措施费、管理费、风险费、保险费、安装费等各种费用，供货数量以实际结算数量为准。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FF"/>
                <w:kern w:val="0"/>
                <w:sz w:val="24"/>
                <w:szCs w:val="24"/>
                <w:u w:val="none"/>
                <w:lang w:val="en-US" w:eastAsia="zh-CN" w:bidi="ar"/>
              </w:rPr>
              <w:t>以上单价为固定单价，具体款项以实际供货量结算。</w:t>
            </w:r>
            <w:r>
              <w:rPr>
                <w:rFonts w:hint="eastAsia" w:ascii="仿宋" w:hAnsi="仿宋" w:eastAsia="仿宋" w:cs="仿宋"/>
                <w:i w:val="0"/>
                <w:iCs w:val="0"/>
                <w:color w:val="0000FF"/>
                <w:kern w:val="0"/>
                <w:sz w:val="24"/>
                <w:szCs w:val="24"/>
                <w:u w:val="none"/>
                <w:lang w:val="en-US" w:eastAsia="zh-CN" w:bidi="ar"/>
              </w:rPr>
              <w:br w:type="textWrapping"/>
            </w:r>
            <w:r>
              <w:rPr>
                <w:rFonts w:hint="eastAsia" w:ascii="仿宋" w:hAnsi="仿宋" w:eastAsia="仿宋" w:cs="仿宋"/>
                <w:i w:val="0"/>
                <w:iCs w:val="0"/>
                <w:color w:val="0000FF"/>
                <w:kern w:val="0"/>
                <w:sz w:val="24"/>
                <w:szCs w:val="24"/>
                <w:u w:val="none"/>
                <w:lang w:val="en-US" w:eastAsia="zh-CN" w:bidi="ar"/>
              </w:rPr>
              <w:t>3、税率为13%。</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如贵单位接受我单位报价，本响应文件及贵单位询价书将共同成对我单位的约束，我单位将全面履行责任。</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我单位理解：贵单位不一定接受我单位报价，也无须向我单位解释不接受的原因。</w:t>
      </w:r>
    </w:p>
    <w:p>
      <w:pPr>
        <w:keepNext w:val="0"/>
        <w:keepLines w:val="0"/>
        <w:pageBreakBefore w:val="0"/>
        <w:widowControl w:val="0"/>
        <w:kinsoku/>
        <w:overflowPunct/>
        <w:topLinePunct w:val="0"/>
        <w:autoSpaceDE/>
        <w:autoSpaceDN/>
        <w:bidi w:val="0"/>
        <w:adjustRightInd/>
        <w:snapToGrid/>
        <w:spacing w:line="440" w:lineRule="exact"/>
        <w:ind w:firstLine="560"/>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（单位名称及签章）</w:t>
      </w:r>
    </w:p>
    <w:p>
      <w:pPr>
        <w:keepNext w:val="0"/>
        <w:keepLines w:val="0"/>
        <w:pageBreakBefore w:val="0"/>
        <w:widowControl w:val="0"/>
        <w:kinsoku/>
        <w:wordWrap w:val="0"/>
        <w:overflowPunct/>
        <w:topLinePunct w:val="0"/>
        <w:autoSpaceDE/>
        <w:autoSpaceDN/>
        <w:bidi w:val="0"/>
        <w:adjustRightInd/>
        <w:snapToGrid/>
        <w:spacing w:line="440" w:lineRule="exact"/>
        <w:ind w:firstLine="560"/>
        <w:jc w:val="center"/>
        <w:textAlignment w:val="auto"/>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both"/>
        <w:rPr>
          <w:rFonts w:hint="eastAsia" w:ascii="方正小标宋简体" w:hAnsi="方正小标宋简体" w:eastAsia="方正小标宋简体" w:cs="方正小标宋简体"/>
          <w:b w:val="0"/>
          <w:bCs w:val="0"/>
          <w:color w:val="auto"/>
          <w:sz w:val="36"/>
          <w:szCs w:val="36"/>
        </w:rPr>
      </w:pPr>
    </w:p>
    <w:p>
      <w:pPr>
        <w:bidi w:val="0"/>
        <w:ind w:left="0" w:leftChars="0" w:firstLine="0" w:firstLineChars="0"/>
        <w:jc w:val="both"/>
        <w:rPr>
          <w:rFonts w:hint="eastAsia" w:ascii="方正小标宋简体" w:hAnsi="方正小标宋简体" w:eastAsia="方正小标宋简体" w:cs="方正小标宋简体"/>
          <w:b w:val="0"/>
          <w:bCs w:val="0"/>
          <w:color w:val="auto"/>
          <w:sz w:val="36"/>
          <w:szCs w:val="36"/>
        </w:rPr>
      </w:pPr>
      <w:bookmarkStart w:id="0" w:name="_GoBack"/>
      <w:bookmarkEnd w:id="0"/>
    </w:p>
    <w:p>
      <w:pPr>
        <w:bidi w:val="0"/>
        <w:ind w:left="0" w:leftChars="0" w:firstLine="0" w:firstLineChars="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进贤创控供应链金融有限责任公司</w:t>
      </w:r>
      <w:r>
        <w:rPr>
          <w:rFonts w:hint="eastAsia" w:ascii="方正小标宋简体" w:hAnsi="方正小标宋简体" w:eastAsia="方正小标宋简体" w:cs="方正小标宋简体"/>
          <w:b w:val="0"/>
          <w:bCs w:val="0"/>
          <w:color w:val="auto"/>
          <w:sz w:val="36"/>
          <w:szCs w:val="36"/>
        </w:rPr>
        <w:t>投标邀请函</w:t>
      </w:r>
    </w:p>
    <w:p>
      <w:pPr>
        <w:ind w:left="0" w:leftChars="0" w:firstLine="0" w:firstLine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进贤创控供应链金融有限责任公司</w:t>
      </w:r>
      <w:r>
        <w:rPr>
          <w:rFonts w:hint="eastAsia" w:ascii="仿宋_GB2312" w:hAnsi="仿宋_GB2312" w:eastAsia="仿宋_GB2312" w:cs="仿宋_GB2312"/>
          <w:b w:val="0"/>
          <w:bCs w:val="0"/>
          <w:color w:val="auto"/>
          <w:sz w:val="24"/>
          <w:szCs w:val="24"/>
        </w:rPr>
        <w:t>对</w:t>
      </w:r>
      <w:r>
        <w:rPr>
          <w:rFonts w:hint="eastAsia" w:ascii="仿宋_GB2312" w:hAnsi="仿宋_GB2312" w:eastAsia="仿宋_GB2312" w:cs="仿宋_GB2312"/>
          <w:b w:val="0"/>
          <w:bCs w:val="0"/>
          <w:color w:val="auto"/>
          <w:sz w:val="24"/>
          <w:szCs w:val="24"/>
          <w:lang w:val="en-US" w:eastAsia="zh-CN"/>
        </w:rPr>
        <w:t>2024年上半年</w:t>
      </w:r>
      <w:r>
        <w:rPr>
          <w:rFonts w:hint="eastAsia" w:ascii="仿宋_GB2312" w:hAnsi="仿宋_GB2312" w:eastAsia="仿宋_GB2312" w:cs="仿宋_GB2312"/>
          <w:b w:val="0"/>
          <w:bCs w:val="0"/>
          <w:color w:val="auto"/>
          <w:sz w:val="24"/>
          <w:szCs w:val="24"/>
        </w:rPr>
        <w:t>生产物资及服务进行招标</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集采、供意向的确定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 </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兹邀请合格供应商前来洽谈。具体要求如下</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1、招标范围</w:t>
      </w:r>
      <w:r>
        <w:rPr>
          <w:rFonts w:hint="eastAsia" w:ascii="仿宋_GB2312" w:hAnsi="仿宋_GB2312" w:eastAsia="仿宋_GB2312" w:cs="仿宋_GB2312"/>
          <w:b w:val="0"/>
          <w:bCs w:val="0"/>
          <w:color w:val="auto"/>
          <w:sz w:val="24"/>
          <w:szCs w:val="24"/>
          <w:lang w:eastAsia="zh-CN"/>
        </w:rPr>
        <w:t>：预应力管桩</w:t>
      </w:r>
      <w:r>
        <w:rPr>
          <w:rFonts w:hint="eastAsia" w:ascii="仿宋_GB2312" w:hAnsi="仿宋_GB2312" w:eastAsia="仿宋_GB2312" w:cs="仿宋_GB2312"/>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highlight w:val="none"/>
        </w:rPr>
        <w:t>2、供应商资质</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合格的生产商授权书、具备增值税一般纳税人资格</w:t>
      </w:r>
      <w:r>
        <w:rPr>
          <w:rFonts w:hint="eastAsia" w:ascii="仿宋_GB2312" w:hAnsi="仿宋_GB2312" w:eastAsia="仿宋_GB2312" w:cs="仿宋_GB2312"/>
          <w:b w:val="0"/>
          <w:bCs w:val="0"/>
          <w:color w:val="auto"/>
          <w:sz w:val="24"/>
          <w:szCs w:val="24"/>
          <w:highlight w:val="none"/>
          <w:lang w:val="en-US" w:eastAsia="zh-CN"/>
        </w:rPr>
        <w:t>等</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rPr>
        <w:t>（详见招标文件）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0000FF"/>
          <w:sz w:val="24"/>
          <w:szCs w:val="24"/>
        </w:rPr>
      </w:pPr>
      <w:r>
        <w:rPr>
          <w:rFonts w:hint="eastAsia" w:ascii="仿宋_GB2312" w:hAnsi="仿宋_GB2312" w:eastAsia="仿宋_GB2312" w:cs="仿宋_GB2312"/>
          <w:b w:val="0"/>
          <w:bCs w:val="0"/>
          <w:color w:val="auto"/>
          <w:sz w:val="24"/>
          <w:szCs w:val="24"/>
        </w:rPr>
        <w:t>3、产品要求</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供应商需保证产品是全新、未使用过的原装合格正品，完全符合采购文件规定的质量、规格和性能</w:t>
      </w:r>
      <w:r>
        <w:rPr>
          <w:rFonts w:hint="eastAsia" w:ascii="仿宋_GB2312" w:hAnsi="仿宋_GB2312" w:eastAsia="仿宋_GB2312" w:cs="仿宋_GB2312"/>
          <w:b w:val="0"/>
          <w:bCs w:val="0"/>
          <w:color w:val="auto"/>
          <w:sz w:val="24"/>
          <w:szCs w:val="24"/>
          <w:highlight w:val="none"/>
        </w:rPr>
        <w:t>的要求，需提供相关产品的质量认证证书或检测试验报告等</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产品技术规格需提供相应产品的技术说明书。（详见招标文件）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4、投标时间</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如有合作意向</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请贵方于</w:t>
      </w:r>
      <w:r>
        <w:rPr>
          <w:rFonts w:hint="eastAsia" w:ascii="仿宋_GB2312" w:hAnsi="仿宋_GB2312" w:eastAsia="仿宋_GB2312" w:cs="仿宋_GB2312"/>
          <w:b w:val="0"/>
          <w:bCs w:val="0"/>
          <w:color w:val="auto"/>
          <w:sz w:val="24"/>
          <w:szCs w:val="24"/>
          <w:lang w:val="en-US" w:eastAsia="zh-CN"/>
        </w:rPr>
        <w:t>2024</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14</w:t>
      </w:r>
      <w:r>
        <w:rPr>
          <w:rFonts w:hint="eastAsia" w:ascii="仿宋_GB2312" w:hAnsi="仿宋_GB2312" w:eastAsia="仿宋_GB2312" w:cs="仿宋_GB2312"/>
          <w:b w:val="0"/>
          <w:bCs w:val="0"/>
          <w:color w:val="auto"/>
          <w:sz w:val="24"/>
          <w:szCs w:val="24"/>
        </w:rPr>
        <w:t>日</w:t>
      </w:r>
      <w:r>
        <w:rPr>
          <w:rFonts w:hint="eastAsia" w:ascii="仿宋_GB2312" w:hAnsi="仿宋_GB2312" w:eastAsia="仿宋_GB2312" w:cs="仿宋_GB2312"/>
          <w:b w:val="0"/>
          <w:bCs w:val="0"/>
          <w:color w:val="auto"/>
          <w:sz w:val="24"/>
          <w:szCs w:val="24"/>
          <w:lang w:val="en-US" w:eastAsia="zh-CN"/>
        </w:rPr>
        <w:t>下</w:t>
      </w:r>
      <w:r>
        <w:rPr>
          <w:rFonts w:hint="eastAsia" w:ascii="仿宋_GB2312" w:hAnsi="仿宋_GB2312" w:eastAsia="仿宋_GB2312" w:cs="仿宋_GB2312"/>
          <w:b w:val="0"/>
          <w:bCs w:val="0"/>
          <w:color w:val="auto"/>
          <w:sz w:val="24"/>
          <w:szCs w:val="24"/>
        </w:rPr>
        <w:t>午</w:t>
      </w:r>
      <w:r>
        <w:rPr>
          <w:rFonts w:hint="eastAsia" w:ascii="仿宋_GB2312" w:hAnsi="仿宋_GB2312" w:eastAsia="仿宋_GB2312" w:cs="仿宋_GB2312"/>
          <w:b w:val="0"/>
          <w:bCs w:val="0"/>
          <w:color w:val="auto"/>
          <w:sz w:val="24"/>
          <w:szCs w:val="24"/>
          <w:lang w:val="en-US" w:eastAsia="zh-CN"/>
        </w:rPr>
        <w:t>15</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val="en-US" w:eastAsia="zh-CN"/>
        </w:rPr>
        <w:t>00</w:t>
      </w:r>
      <w:r>
        <w:rPr>
          <w:rFonts w:hint="eastAsia" w:ascii="仿宋_GB2312" w:hAnsi="仿宋_GB2312" w:eastAsia="仿宋_GB2312" w:cs="仿宋_GB2312"/>
          <w:b w:val="0"/>
          <w:bCs w:val="0"/>
          <w:color w:val="auto"/>
          <w:sz w:val="24"/>
          <w:szCs w:val="24"/>
        </w:rPr>
        <w:t>前按照本公司询价的要求和响应文件格式送往</w:t>
      </w:r>
      <w:r>
        <w:rPr>
          <w:rFonts w:hint="eastAsia" w:ascii="仿宋_GB2312" w:hAnsi="仿宋_GB2312" w:eastAsia="仿宋_GB2312" w:cs="仿宋_GB2312"/>
          <w:b w:val="0"/>
          <w:bCs w:val="0"/>
          <w:color w:val="auto"/>
          <w:sz w:val="24"/>
          <w:szCs w:val="24"/>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5、通讯地址</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江西省南昌市进贤县民和镇进贤大道726号（进贤交警大队斜对面二楼）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rPr>
        <w:t>6、联系</w:t>
      </w:r>
      <w:r>
        <w:rPr>
          <w:rFonts w:hint="eastAsia" w:ascii="仿宋_GB2312" w:hAnsi="仿宋_GB2312" w:eastAsia="仿宋_GB2312" w:cs="仿宋_GB2312"/>
          <w:b w:val="0"/>
          <w:bCs w:val="0"/>
          <w:color w:val="auto"/>
          <w:sz w:val="24"/>
          <w:szCs w:val="24"/>
          <w:lang w:eastAsia="zh-CN"/>
        </w:rPr>
        <w:t>人及联系</w:t>
      </w:r>
      <w:r>
        <w:rPr>
          <w:rFonts w:hint="eastAsia" w:ascii="仿宋_GB2312" w:hAnsi="仿宋_GB2312" w:eastAsia="仿宋_GB2312" w:cs="仿宋_GB2312"/>
          <w:b w:val="0"/>
          <w:bCs w:val="0"/>
          <w:color w:val="auto"/>
          <w:sz w:val="24"/>
          <w:szCs w:val="24"/>
        </w:rPr>
        <w:t>电话</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highlight w:val="none"/>
          <w:lang w:val="en-US" w:eastAsia="zh-CN"/>
        </w:rPr>
        <w:t>胡凯15070875986</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7、招标</w:t>
      </w:r>
      <w:r>
        <w:rPr>
          <w:rFonts w:hint="eastAsia" w:ascii="仿宋_GB2312" w:hAnsi="仿宋_GB2312" w:eastAsia="仿宋_GB2312" w:cs="仿宋_GB2312"/>
          <w:b w:val="0"/>
          <w:bCs w:val="0"/>
          <w:color w:val="auto"/>
          <w:sz w:val="24"/>
          <w:szCs w:val="24"/>
          <w:lang w:eastAsia="zh-CN"/>
        </w:rPr>
        <w:t>网址：http://www.jinxianjicai.cn/</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顺祝</w:t>
      </w:r>
      <w:r>
        <w:rPr>
          <w:rFonts w:hint="eastAsia" w:ascii="仿宋_GB2312" w:hAnsi="仿宋_GB2312"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商祺</w:t>
      </w:r>
      <w:r>
        <w:rPr>
          <w:rFonts w:hint="eastAsia" w:ascii="仿宋_GB2312" w:hAnsi="仿宋_GB2312" w:eastAsia="仿宋_GB2312" w:cs="仿宋_GB2312"/>
          <w:b w:val="0"/>
          <w:bCs w:val="0"/>
          <w:color w:val="auto"/>
          <w:sz w:val="24"/>
          <w:szCs w:val="24"/>
          <w:lang w:eastAsia="zh-CN"/>
        </w:rPr>
        <w:t>！</w:t>
      </w:r>
    </w:p>
    <w:p>
      <w:pPr>
        <w:ind w:firstLine="4320" w:firstLineChars="180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进贤创控供应链金融有限责任公司</w:t>
      </w:r>
    </w:p>
    <w:p>
      <w:pPr>
        <w:rPr>
          <w:rFonts w:hint="eastAsia" w:ascii="仿宋_GB2312" w:hAnsi="仿宋_GB2312" w:eastAsia="仿宋_GB2312" w:cs="仿宋_GB2312"/>
          <w:b w:val="0"/>
          <w:bCs w:val="0"/>
          <w:color w:val="auto"/>
          <w:sz w:val="24"/>
          <w:szCs w:val="24"/>
          <w:lang w:eastAsia="zh-CN"/>
        </w:rPr>
      </w:pPr>
    </w:p>
    <w:p>
      <w:pPr>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日</w:t>
      </w:r>
    </w:p>
    <w:p>
      <w:pPr>
        <w:ind w:firstLine="6480" w:firstLineChars="2700"/>
        <w:rPr>
          <w:rFonts w:hint="eastAsia" w:ascii="仿宋_GB2312" w:hAnsi="仿宋_GB2312" w:eastAsia="仿宋_GB2312" w:cs="仿宋_GB2312"/>
          <w:b w:val="0"/>
          <w:bCs w:val="0"/>
          <w:color w:val="auto"/>
          <w:sz w:val="24"/>
          <w:szCs w:val="24"/>
        </w:rPr>
      </w:pPr>
    </w:p>
    <w:p>
      <w:pPr>
        <w:rPr>
          <w:rFonts w:hint="eastAsia" w:ascii="仿宋_GB2312" w:hAnsi="仿宋_GB2312" w:eastAsia="仿宋_GB2312" w:cs="仿宋_GB2312"/>
          <w:b w:val="0"/>
          <w:bCs w:val="0"/>
          <w:color w:val="auto"/>
          <w:sz w:val="24"/>
          <w:szCs w:val="24"/>
          <w:lang w:val="en-US" w:eastAsia="zh-CN"/>
        </w:rPr>
      </w:pPr>
    </w:p>
    <w:p>
      <w:pPr>
        <w:ind w:left="0" w:leftChars="0" w:firstLine="0" w:firstLineChars="0"/>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-------------------------------投标回函---------------------------------</w:t>
      </w:r>
    </w:p>
    <w:p>
      <w:pPr>
        <w:rPr>
          <w:rFonts w:hint="eastAsia" w:ascii="仿宋_GB2312" w:hAnsi="仿宋_GB2312" w:eastAsia="仿宋_GB2312" w:cs="仿宋_GB2312"/>
          <w:b w:val="0"/>
          <w:bCs w:val="0"/>
          <w:color w:val="auto"/>
          <w:sz w:val="24"/>
          <w:szCs w:val="24"/>
        </w:rPr>
      </w:pPr>
    </w:p>
    <w:p>
      <w:pPr>
        <w:ind w:left="0" w:leftChars="0" w:firstLine="0" w:firstLineChars="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 xml:space="preserve">致： </w:t>
      </w:r>
      <w:r>
        <w:rPr>
          <w:rFonts w:hint="eastAsia" w:ascii="仿宋_GB2312" w:hAnsi="仿宋_GB2312" w:eastAsia="仿宋_GB2312" w:cs="仿宋_GB2312"/>
          <w:b w:val="0"/>
          <w:bCs w:val="0"/>
          <w:color w:val="auto"/>
          <w:sz w:val="24"/>
          <w:szCs w:val="24"/>
          <w:lang w:eastAsia="zh-CN"/>
        </w:rPr>
        <w:t>进贤创控供应链金融有限责任公司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我公司</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rPr>
        <w:t> </w:t>
      </w:r>
      <w:r>
        <w:rPr>
          <w:rFonts w:hint="eastAsia" w:ascii="仿宋_GB2312" w:hAnsi="仿宋_GB2312" w:eastAsia="仿宋_GB2312" w:cs="仿宋_GB2312"/>
          <w:b w:val="0"/>
          <w:bCs w:val="0"/>
          <w:color w:val="auto"/>
          <w:sz w:val="24"/>
          <w:szCs w:val="24"/>
        </w:rPr>
        <w:t>，于  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月</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 日，接收到贵公司关于</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rPr>
        <w:t>的招标书，经我公司研究决定，参与贵公司组织的对</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val="0"/>
          <w:bCs w:val="0"/>
          <w:color w:val="0000FF"/>
          <w:sz w:val="24"/>
          <w:szCs w:val="24"/>
          <w:u w:val="single"/>
          <w:lang w:val="en-US" w:eastAsia="zh-CN"/>
        </w:rPr>
        <w:t>进贤县职业技术高级中学新建工程</w:t>
      </w:r>
      <w:r>
        <w:rPr>
          <w:rFonts w:hint="eastAsia" w:ascii="仿宋_GB2312" w:hAnsi="仿宋_GB2312" w:cs="仿宋_GB2312"/>
          <w:b w:val="0"/>
          <w:bCs w:val="0"/>
          <w:color w:val="0000FF"/>
          <w:sz w:val="24"/>
          <w:szCs w:val="24"/>
          <w:u w:val="single"/>
          <w:lang w:val="en-US" w:eastAsia="zh-CN"/>
        </w:rPr>
        <w:t>（</w:t>
      </w:r>
      <w:r>
        <w:rPr>
          <w:rFonts w:hint="eastAsia" w:ascii="仿宋_GB2312" w:hAnsi="仿宋_GB2312" w:eastAsia="仿宋_GB2312" w:cs="仿宋_GB2312"/>
          <w:b w:val="0"/>
          <w:bCs w:val="0"/>
          <w:color w:val="0000FF"/>
          <w:sz w:val="24"/>
          <w:szCs w:val="24"/>
          <w:u w:val="single"/>
          <w:lang w:val="en-US" w:eastAsia="zh-CN"/>
        </w:rPr>
        <w:t>一期</w:t>
      </w:r>
      <w:r>
        <w:rPr>
          <w:rFonts w:hint="eastAsia" w:ascii="仿宋_GB2312" w:hAnsi="仿宋_GB2312" w:cs="仿宋_GB2312"/>
          <w:b w:val="0"/>
          <w:bCs w:val="0"/>
          <w:color w:val="0000FF"/>
          <w:sz w:val="24"/>
          <w:szCs w:val="24"/>
          <w:u w:val="single"/>
          <w:lang w:val="en-US" w:eastAsia="zh-CN"/>
        </w:rPr>
        <w:t>）</w:t>
      </w:r>
      <w:r>
        <w:rPr>
          <w:rFonts w:hint="eastAsia" w:ascii="仿宋_GB2312" w:hAnsi="仿宋_GB2312" w:eastAsia="仿宋_GB2312" w:cs="仿宋_GB2312"/>
          <w:b w:val="0"/>
          <w:bCs w:val="0"/>
          <w:color w:val="0000FF"/>
          <w:sz w:val="24"/>
          <w:szCs w:val="24"/>
          <w:u w:val="single"/>
          <w:lang w:val="en-US" w:eastAsia="zh-CN"/>
        </w:rPr>
        <w:t>设计施工采购一体化</w:t>
      </w:r>
      <w:r>
        <w:rPr>
          <w:rFonts w:hint="eastAsia" w:ascii="仿宋_GB2312" w:hAnsi="仿宋_GB2312" w:cs="仿宋_GB2312"/>
          <w:b w:val="0"/>
          <w:bCs w:val="0"/>
          <w:color w:val="0000FF"/>
          <w:sz w:val="24"/>
          <w:szCs w:val="24"/>
          <w:u w:val="single"/>
          <w:lang w:val="en-US" w:eastAsia="zh-CN"/>
        </w:rPr>
        <w:t>（</w:t>
      </w:r>
      <w:r>
        <w:rPr>
          <w:rFonts w:hint="eastAsia" w:ascii="仿宋_GB2312" w:hAnsi="仿宋_GB2312" w:eastAsia="仿宋_GB2312" w:cs="仿宋_GB2312"/>
          <w:b w:val="0"/>
          <w:bCs w:val="0"/>
          <w:color w:val="0000FF"/>
          <w:sz w:val="24"/>
          <w:szCs w:val="24"/>
          <w:u w:val="single"/>
          <w:lang w:val="en-US" w:eastAsia="zh-CN"/>
        </w:rPr>
        <w:t>EPC</w:t>
      </w:r>
      <w:r>
        <w:rPr>
          <w:rFonts w:hint="eastAsia" w:ascii="仿宋_GB2312" w:hAnsi="仿宋_GB2312" w:cs="仿宋_GB2312"/>
          <w:b w:val="0"/>
          <w:bCs w:val="0"/>
          <w:color w:val="0000FF"/>
          <w:sz w:val="24"/>
          <w:szCs w:val="24"/>
          <w:u w:val="single"/>
          <w:lang w:val="en-US" w:eastAsia="zh-CN"/>
        </w:rPr>
        <w:t>）</w:t>
      </w:r>
      <w:r>
        <w:rPr>
          <w:rFonts w:hint="eastAsia" w:ascii="仿宋_GB2312" w:hAnsi="仿宋_GB2312" w:eastAsia="仿宋_GB2312" w:cs="仿宋_GB2312"/>
          <w:b w:val="0"/>
          <w:bCs w:val="0"/>
          <w:color w:val="0000FF"/>
          <w:sz w:val="24"/>
          <w:szCs w:val="24"/>
          <w:u w:val="single"/>
          <w:lang w:val="en-US" w:eastAsia="zh-CN"/>
        </w:rPr>
        <w:t>总承包项目</w:t>
      </w:r>
      <w:r>
        <w:rPr>
          <w:rFonts w:hint="eastAsia" w:ascii="仿宋_GB2312" w:hAnsi="仿宋_GB2312" w:eastAsia="仿宋_GB2312" w:cs="仿宋_GB2312"/>
          <w:b w:val="0"/>
          <w:bCs w:val="0"/>
          <w:color w:val="auto"/>
          <w:sz w:val="24"/>
          <w:szCs w:val="24"/>
        </w:rPr>
        <w:t>的投标活动。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特此回执</w:t>
      </w:r>
    </w:p>
    <w:p>
      <w:pPr>
        <w:ind w:firstLine="5760" w:firstLineChars="240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投标单位：   （公章）</w:t>
      </w:r>
    </w:p>
    <w:p>
      <w:pPr>
        <w:rPr>
          <w:rFonts w:hint="eastAsia" w:ascii="仿宋_GB2312" w:hAnsi="仿宋_GB2312" w:eastAsia="仿宋_GB2312" w:cs="仿宋_GB2312"/>
          <w:b w:val="0"/>
          <w:bCs w:val="0"/>
          <w:color w:val="auto"/>
          <w:sz w:val="24"/>
          <w:szCs w:val="24"/>
        </w:rPr>
      </w:pPr>
    </w:p>
    <w:p>
      <w:pPr>
        <w:ind w:firstLine="6480" w:firstLineChars="2700"/>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年  月</w:t>
      </w:r>
      <w:r>
        <w:rPr>
          <w:rFonts w:hint="eastAsia" w:ascii="仿宋_GB2312" w:hAnsi="仿宋_GB2312" w:eastAsia="仿宋_GB2312" w:cs="仿宋_GB2312"/>
          <w:b w:val="0"/>
          <w:bCs w:val="0"/>
          <w:color w:val="auto"/>
          <w:sz w:val="24"/>
          <w:szCs w:val="24"/>
          <w:lang w:val="en-US" w:eastAsia="zh-CN"/>
        </w:rPr>
        <w:t xml:space="preserve">  日</w:t>
      </w:r>
    </w:p>
    <w:sectPr>
      <w:headerReference r:id="rId7" w:type="first"/>
      <w:footerReference r:id="rId10" w:type="first"/>
      <w:headerReference r:id="rId5" w:type="default"/>
      <w:footerReference r:id="rId8" w:type="default"/>
      <w:headerReference r:id="rId6" w:type="even"/>
      <w:footerReference r:id="rId9" w:type="even"/>
      <w:pgSz w:w="11906" w:h="16838"/>
      <w:pgMar w:top="1497" w:right="1633" w:bottom="1497" w:left="163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731433"/>
    <w:multiLevelType w:val="singleLevel"/>
    <w:tmpl w:val="67731433"/>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OWIwMDY4YjkwMjQ3ZDI2MWE2YzE4ZWY3ODZjMDgifQ=="/>
  </w:docVars>
  <w:rsids>
    <w:rsidRoot w:val="01070B8F"/>
    <w:rsid w:val="00472BC2"/>
    <w:rsid w:val="01070B8F"/>
    <w:rsid w:val="017032C7"/>
    <w:rsid w:val="01E7687A"/>
    <w:rsid w:val="03F12EC7"/>
    <w:rsid w:val="045B7C4A"/>
    <w:rsid w:val="049767FC"/>
    <w:rsid w:val="04D035F5"/>
    <w:rsid w:val="058B1BDD"/>
    <w:rsid w:val="05F15F19"/>
    <w:rsid w:val="05FA3215"/>
    <w:rsid w:val="06B84D15"/>
    <w:rsid w:val="06F54B11"/>
    <w:rsid w:val="085A36BF"/>
    <w:rsid w:val="0A225BD2"/>
    <w:rsid w:val="0C112AAA"/>
    <w:rsid w:val="0C526B81"/>
    <w:rsid w:val="0CC90104"/>
    <w:rsid w:val="0D26294C"/>
    <w:rsid w:val="0E552DBD"/>
    <w:rsid w:val="0EAD59CC"/>
    <w:rsid w:val="0EBD0EB8"/>
    <w:rsid w:val="0EC45910"/>
    <w:rsid w:val="0FB00BF3"/>
    <w:rsid w:val="0FBF4992"/>
    <w:rsid w:val="15DB4164"/>
    <w:rsid w:val="182D22BC"/>
    <w:rsid w:val="1B7A3E63"/>
    <w:rsid w:val="1B9C5CB3"/>
    <w:rsid w:val="1CCC4063"/>
    <w:rsid w:val="1E682698"/>
    <w:rsid w:val="1FE83A91"/>
    <w:rsid w:val="200308CB"/>
    <w:rsid w:val="20823EE5"/>
    <w:rsid w:val="20AC128F"/>
    <w:rsid w:val="21A54E98"/>
    <w:rsid w:val="21AD2B8D"/>
    <w:rsid w:val="22870950"/>
    <w:rsid w:val="22F664C5"/>
    <w:rsid w:val="247F4759"/>
    <w:rsid w:val="24B86128"/>
    <w:rsid w:val="24CD14A7"/>
    <w:rsid w:val="25661E6D"/>
    <w:rsid w:val="29A7676B"/>
    <w:rsid w:val="29BA46F0"/>
    <w:rsid w:val="2C98683F"/>
    <w:rsid w:val="2F4532F9"/>
    <w:rsid w:val="2F7B66D0"/>
    <w:rsid w:val="305D54E1"/>
    <w:rsid w:val="306727B0"/>
    <w:rsid w:val="31263EE9"/>
    <w:rsid w:val="322E5C7B"/>
    <w:rsid w:val="325731BC"/>
    <w:rsid w:val="325E58AF"/>
    <w:rsid w:val="33213C41"/>
    <w:rsid w:val="353B5B26"/>
    <w:rsid w:val="357E3630"/>
    <w:rsid w:val="3585423B"/>
    <w:rsid w:val="3926365D"/>
    <w:rsid w:val="3AE5539C"/>
    <w:rsid w:val="3C4269CC"/>
    <w:rsid w:val="403C5A07"/>
    <w:rsid w:val="40423349"/>
    <w:rsid w:val="4047068C"/>
    <w:rsid w:val="404C052A"/>
    <w:rsid w:val="422A7534"/>
    <w:rsid w:val="42331903"/>
    <w:rsid w:val="42A36932"/>
    <w:rsid w:val="42E4094A"/>
    <w:rsid w:val="442073EE"/>
    <w:rsid w:val="44DE708D"/>
    <w:rsid w:val="462E135F"/>
    <w:rsid w:val="46E97F6B"/>
    <w:rsid w:val="48390A7E"/>
    <w:rsid w:val="487A0B7F"/>
    <w:rsid w:val="492D2FB3"/>
    <w:rsid w:val="4B761CC6"/>
    <w:rsid w:val="4B7C7600"/>
    <w:rsid w:val="4B8B4137"/>
    <w:rsid w:val="4BF47533"/>
    <w:rsid w:val="4C206F9A"/>
    <w:rsid w:val="4C744EF7"/>
    <w:rsid w:val="50EB68F8"/>
    <w:rsid w:val="51960CEF"/>
    <w:rsid w:val="54216C60"/>
    <w:rsid w:val="5466705A"/>
    <w:rsid w:val="54B62813"/>
    <w:rsid w:val="55050BF9"/>
    <w:rsid w:val="56C34335"/>
    <w:rsid w:val="58977827"/>
    <w:rsid w:val="5BAD55B3"/>
    <w:rsid w:val="5CC85C2F"/>
    <w:rsid w:val="5D973E25"/>
    <w:rsid w:val="5EA86317"/>
    <w:rsid w:val="5F296CFF"/>
    <w:rsid w:val="607034DD"/>
    <w:rsid w:val="62CF7E75"/>
    <w:rsid w:val="6497295D"/>
    <w:rsid w:val="651A0B49"/>
    <w:rsid w:val="6643033F"/>
    <w:rsid w:val="664B149E"/>
    <w:rsid w:val="6A6D25C1"/>
    <w:rsid w:val="6F271DE2"/>
    <w:rsid w:val="70BA245B"/>
    <w:rsid w:val="70F3156C"/>
    <w:rsid w:val="714A1482"/>
    <w:rsid w:val="71CB5D8B"/>
    <w:rsid w:val="71F04ABA"/>
    <w:rsid w:val="74EF3D29"/>
    <w:rsid w:val="7541494A"/>
    <w:rsid w:val="76006BBE"/>
    <w:rsid w:val="760C6768"/>
    <w:rsid w:val="77DA199C"/>
    <w:rsid w:val="7E3322DD"/>
    <w:rsid w:val="7E475ED0"/>
    <w:rsid w:val="7F8C3A2D"/>
    <w:rsid w:val="7FF35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43" w:firstLineChars="200"/>
      <w:jc w:val="both"/>
    </w:pPr>
    <w:rPr>
      <w:rFonts w:ascii="Calibri" w:hAnsi="Calibri" w:eastAsia="仿宋_GB2312" w:cs="Times New Roman"/>
      <w:kern w:val="2"/>
      <w:sz w:val="28"/>
      <w:szCs w:val="24"/>
      <w:lang w:val="en-US" w:eastAsia="zh-CN" w:bidi="ar-SA"/>
    </w:rPr>
  </w:style>
  <w:style w:type="paragraph" w:styleId="2">
    <w:name w:val="heading 1"/>
    <w:basedOn w:val="1"/>
    <w:next w:val="1"/>
    <w:autoRedefine/>
    <w:qFormat/>
    <w:uiPriority w:val="0"/>
    <w:pPr>
      <w:keepNext/>
      <w:keepLines/>
      <w:spacing w:before="60" w:beforeLines="0" w:beforeAutospacing="0" w:after="60" w:afterLines="0" w:afterAutospacing="0" w:line="576" w:lineRule="auto"/>
      <w:jc w:val="center"/>
      <w:outlineLvl w:val="0"/>
    </w:pPr>
    <w:rPr>
      <w:rFonts w:ascii="Calibri" w:hAnsi="Calibri" w:eastAsia="方正小标宋简体"/>
      <w:b/>
      <w:kern w:val="44"/>
      <w:sz w:val="32"/>
    </w:rPr>
  </w:style>
  <w:style w:type="paragraph" w:styleId="3">
    <w:name w:val="heading 2"/>
    <w:basedOn w:val="1"/>
    <w:next w:val="1"/>
    <w:autoRedefine/>
    <w:unhideWhenUsed/>
    <w:qFormat/>
    <w:uiPriority w:val="0"/>
    <w:pPr>
      <w:keepNext/>
      <w:keepLines/>
      <w:numPr>
        <w:ilvl w:val="0"/>
        <w:numId w:val="1"/>
      </w:numPr>
      <w:spacing w:beforeLines="0" w:beforeAutospacing="0" w:afterLines="0" w:afterAutospacing="0" w:line="240" w:lineRule="auto"/>
      <w:outlineLvl w:val="1"/>
    </w:pPr>
    <w:rPr>
      <w:rFonts w:ascii="Arial" w:hAnsi="Arial" w:eastAsia="仿宋_GB2312"/>
      <w:b/>
      <w:sz w:val="28"/>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ind w:left="720" w:hanging="720" w:hangingChars="200"/>
    </w:pPr>
    <w:rPr>
      <w:rFonts w:ascii="Times New Roman" w:hAnsi="Times New Roman" w:eastAsia="楷体_GB2312"/>
      <w:sz w:val="36"/>
      <w:szCs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autoRedefine/>
    <w:qFormat/>
    <w:uiPriority w:val="0"/>
    <w:pPr>
      <w:tabs>
        <w:tab w:val="left" w:pos="992"/>
      </w:tabs>
      <w:spacing w:beforeLines="100" w:afterLines="300" w:line="520" w:lineRule="exact"/>
      <w:ind w:left="0"/>
      <w:jc w:val="center"/>
      <w:outlineLvl w:val="0"/>
    </w:pPr>
    <w:rPr>
      <w:rFonts w:ascii="Times New Roman" w:hAnsi="Times New Roman" w:eastAsia="黑体" w:cs="Times New Roman"/>
      <w:b/>
      <w:bCs/>
      <w:kern w:val="2"/>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
    <w:name w:val="标4"/>
    <w:basedOn w:val="15"/>
    <w:next w:val="1"/>
    <w:autoRedefine/>
    <w:qFormat/>
    <w:uiPriority w:val="0"/>
    <w:pPr>
      <w:tabs>
        <w:tab w:val="left" w:pos="992"/>
      </w:tabs>
      <w:spacing w:before="240" w:after="360"/>
      <w:outlineLvl w:val="3"/>
    </w:pPr>
    <w:rPr>
      <w:rFonts w:cs="Arial"/>
    </w:rPr>
  </w:style>
  <w:style w:type="paragraph" w:customStyle="1" w:styleId="15">
    <w:name w:val="标3"/>
    <w:basedOn w:val="16"/>
    <w:next w:val="1"/>
    <w:autoRedefine/>
    <w:qFormat/>
    <w:uiPriority w:val="0"/>
    <w:pPr>
      <w:tabs>
        <w:tab w:val="left" w:pos="992"/>
      </w:tabs>
      <w:adjustRightInd w:val="0"/>
      <w:spacing w:line="240" w:lineRule="exact"/>
      <w:jc w:val="left"/>
      <w:outlineLvl w:val="2"/>
    </w:pPr>
    <w:rPr>
      <w:rFonts w:ascii="Arial" w:hAnsi="Arial"/>
      <w:b/>
      <w:kern w:val="24"/>
      <w:sz w:val="24"/>
    </w:rPr>
  </w:style>
  <w:style w:type="paragraph" w:customStyle="1" w:styleId="16">
    <w:name w:val="标2"/>
    <w:basedOn w:val="17"/>
    <w:autoRedefine/>
    <w:qFormat/>
    <w:uiPriority w:val="99"/>
    <w:pPr>
      <w:keepNext/>
      <w:keepLines/>
      <w:tabs>
        <w:tab w:val="left" w:pos="992"/>
      </w:tabs>
      <w:spacing w:before="0" w:beforeLines="0"/>
      <w:outlineLvl w:val="1"/>
    </w:pPr>
    <w:rPr>
      <w:rFonts w:ascii="黑体" w:hAnsi="黑体" w:cs="宋体"/>
      <w:b w:val="0"/>
      <w:sz w:val="28"/>
      <w:szCs w:val="20"/>
    </w:rPr>
  </w:style>
  <w:style w:type="paragraph" w:customStyle="1" w:styleId="17">
    <w:name w:val="标1"/>
    <w:basedOn w:val="9"/>
    <w:autoRedefine/>
    <w:qFormat/>
    <w:uiPriority w:val="99"/>
    <w:pPr>
      <w:adjustRightInd w:val="0"/>
      <w:spacing w:before="156" w:beforeLines="50" w:after="156" w:afterLines="50"/>
    </w:pPr>
    <w:rPr>
      <w:kern w:val="24"/>
      <w:sz w:val="30"/>
      <w:szCs w:val="24"/>
    </w:rPr>
  </w:style>
  <w:style w:type="character" w:customStyle="1" w:styleId="18">
    <w:name w:val="font11"/>
    <w:basedOn w:val="12"/>
    <w:qFormat/>
    <w:uiPriority w:val="0"/>
    <w:rPr>
      <w:rFonts w:hint="eastAsia" w:ascii="仿宋_GB2312" w:eastAsia="仿宋_GB2312" w:cs="仿宋_GB2312"/>
      <w:b/>
      <w:bCs/>
      <w:color w:val="000000"/>
      <w:sz w:val="24"/>
      <w:szCs w:val="24"/>
      <w:u w:val="none"/>
    </w:rPr>
  </w:style>
  <w:style w:type="character" w:customStyle="1" w:styleId="19">
    <w:name w:val="font71"/>
    <w:basedOn w:val="12"/>
    <w:autoRedefine/>
    <w:qFormat/>
    <w:uiPriority w:val="0"/>
    <w:rPr>
      <w:rFonts w:hint="eastAsia" w:ascii="宋体" w:hAnsi="宋体" w:eastAsia="宋体" w:cs="宋体"/>
      <w:b/>
      <w:bCs/>
      <w:color w:val="000000"/>
      <w:sz w:val="24"/>
      <w:szCs w:val="24"/>
      <w:u w:val="none"/>
    </w:rPr>
  </w:style>
  <w:style w:type="character" w:customStyle="1" w:styleId="20">
    <w:name w:val="font81"/>
    <w:basedOn w:val="12"/>
    <w:autoRedefine/>
    <w:qFormat/>
    <w:uiPriority w:val="0"/>
    <w:rPr>
      <w:rFonts w:hint="eastAsia" w:ascii="仿宋_GB2312" w:eastAsia="仿宋_GB2312" w:cs="仿宋_GB2312"/>
      <w:b/>
      <w:bCs/>
      <w:color w:val="000000"/>
      <w:sz w:val="24"/>
      <w:szCs w:val="24"/>
      <w:u w:val="single"/>
    </w:rPr>
  </w:style>
  <w:style w:type="character" w:customStyle="1" w:styleId="21">
    <w:name w:val="font61"/>
    <w:basedOn w:val="12"/>
    <w:autoRedefine/>
    <w:qFormat/>
    <w:uiPriority w:val="0"/>
    <w:rPr>
      <w:rFonts w:hint="eastAsia" w:ascii="仿宋" w:hAnsi="仿宋" w:eastAsia="仿宋" w:cs="仿宋"/>
      <w:color w:val="000000"/>
      <w:sz w:val="24"/>
      <w:szCs w:val="24"/>
      <w:u w:val="none"/>
    </w:rPr>
  </w:style>
  <w:style w:type="character" w:customStyle="1" w:styleId="22">
    <w:name w:val="font91"/>
    <w:basedOn w:val="12"/>
    <w:autoRedefine/>
    <w:qFormat/>
    <w:uiPriority w:val="0"/>
    <w:rPr>
      <w:rFonts w:hint="eastAsia" w:ascii="仿宋" w:hAnsi="仿宋" w:eastAsia="仿宋" w:cs="仿宋"/>
      <w:color w:val="FF0000"/>
      <w:sz w:val="24"/>
      <w:szCs w:val="24"/>
      <w:u w:val="none"/>
    </w:rPr>
  </w:style>
  <w:style w:type="character" w:customStyle="1" w:styleId="23">
    <w:name w:val="font101"/>
    <w:basedOn w:val="12"/>
    <w:autoRedefine/>
    <w:qFormat/>
    <w:uiPriority w:val="0"/>
    <w:rPr>
      <w:rFonts w:hint="eastAsia" w:ascii="宋体" w:hAnsi="宋体" w:eastAsia="宋体" w:cs="宋体"/>
      <w:color w:val="FF0000"/>
      <w:sz w:val="24"/>
      <w:szCs w:val="24"/>
      <w:u w:val="none"/>
    </w:rPr>
  </w:style>
  <w:style w:type="character" w:customStyle="1" w:styleId="24">
    <w:name w:val="font112"/>
    <w:basedOn w:val="12"/>
    <w:autoRedefine/>
    <w:qFormat/>
    <w:uiPriority w:val="0"/>
    <w:rPr>
      <w:rFonts w:hint="eastAsia" w:ascii="仿宋" w:hAnsi="仿宋" w:eastAsia="仿宋" w:cs="仿宋"/>
      <w:color w:val="FF0000"/>
      <w:sz w:val="24"/>
      <w:szCs w:val="24"/>
      <w:u w:val="single"/>
    </w:rPr>
  </w:style>
  <w:style w:type="character" w:customStyle="1" w:styleId="25">
    <w:name w:val="font51"/>
    <w:basedOn w:val="12"/>
    <w:autoRedefine/>
    <w:qFormat/>
    <w:uiPriority w:val="0"/>
    <w:rPr>
      <w:rFonts w:hint="eastAsia" w:ascii="仿宋" w:hAnsi="仿宋" w:eastAsia="仿宋" w:cs="仿宋"/>
      <w:color w:val="000000"/>
      <w:sz w:val="24"/>
      <w:szCs w:val="24"/>
      <w:u w:val="none"/>
    </w:rPr>
  </w:style>
  <w:style w:type="character" w:customStyle="1" w:styleId="26">
    <w:name w:val="font21"/>
    <w:basedOn w:val="12"/>
    <w:autoRedefine/>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2363</Words>
  <Characters>2800</Characters>
  <Lines>0</Lines>
  <Paragraphs>0</Paragraphs>
  <TotalTime>2</TotalTime>
  <ScaleCrop>false</ScaleCrop>
  <LinksUpToDate>false</LinksUpToDate>
  <CharactersWithSpaces>2897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2022-11-01T08:25:00Z</dcterms:created>
  <dc:creator>Hannie</dc:creator>
  <cp:lastModifiedBy>ROAD</cp:lastModifiedBy>
  <cp:lastPrinted>2023-03-13T07:06:00Z</cp:lastPrinted>
  <dcterms:modified xsi:type="dcterms:W3CDTF">2024-03-12T09:08:27Z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CE8202AB1E51496EB28B54602FAB1216_13</vt:lpwstr>
  </property>
</Properties>
</file>